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7" w:rsidRDefault="009F3877" w:rsidP="00E67640">
      <w:pPr>
        <w:rPr>
          <w:rFonts w:ascii="Arial" w:hAnsi="Arial" w:cs="Arial"/>
          <w:sz w:val="28"/>
          <w:szCs w:val="28"/>
          <w:lang w:val="es-ES"/>
        </w:rPr>
      </w:pPr>
    </w:p>
    <w:p w:rsidR="00E67640" w:rsidRPr="00927DE3" w:rsidRDefault="00D45F14" w:rsidP="00E67640">
      <w:pPr>
        <w:rPr>
          <w:rFonts w:ascii="Arial" w:hAnsi="Arial" w:cs="Arial"/>
          <w:sz w:val="26"/>
          <w:szCs w:val="26"/>
          <w:lang w:val="es-ES"/>
        </w:rPr>
      </w:pPr>
      <w:r w:rsidRPr="00927DE3">
        <w:rPr>
          <w:rFonts w:ascii="Arial" w:hAnsi="Arial" w:cs="Arial"/>
          <w:sz w:val="26"/>
          <w:szCs w:val="26"/>
          <w:lang w:val="es-ES"/>
        </w:rPr>
        <w:t xml:space="preserve">El </w:t>
      </w:r>
      <w:r w:rsidR="001D7D1E" w:rsidRPr="00927DE3">
        <w:rPr>
          <w:rFonts w:ascii="Arial" w:hAnsi="Arial" w:cs="Arial"/>
          <w:sz w:val="26"/>
          <w:szCs w:val="26"/>
          <w:lang w:val="es-ES"/>
        </w:rPr>
        <w:t xml:space="preserve">Grupo </w:t>
      </w:r>
      <w:r w:rsidR="00927DE3" w:rsidRPr="00927DE3">
        <w:rPr>
          <w:rFonts w:ascii="Arial" w:hAnsi="Arial" w:cs="Arial"/>
          <w:sz w:val="26"/>
          <w:szCs w:val="26"/>
          <w:lang w:val="es-ES"/>
        </w:rPr>
        <w:t xml:space="preserve">lleva destinados </w:t>
      </w:r>
      <w:r w:rsidR="00927DE3" w:rsidRPr="00927DE3">
        <w:rPr>
          <w:rFonts w:ascii="Arial" w:hAnsi="Arial" w:cs="Arial"/>
          <w:b/>
          <w:sz w:val="26"/>
          <w:szCs w:val="26"/>
          <w:lang w:val="es-ES"/>
        </w:rPr>
        <w:t>1.000 millones de euros para financiar la compra de nuevas viviendas</w:t>
      </w:r>
      <w:r w:rsidR="00927DE3" w:rsidRPr="00927DE3">
        <w:rPr>
          <w:rFonts w:ascii="Arial" w:hAnsi="Arial" w:cs="Arial"/>
          <w:sz w:val="26"/>
          <w:szCs w:val="26"/>
          <w:lang w:val="es-ES"/>
        </w:rPr>
        <w:t>, un 43,6% más que en 2014</w:t>
      </w:r>
    </w:p>
    <w:p w:rsidR="005F52CF" w:rsidRPr="002E382B" w:rsidRDefault="005F52CF" w:rsidP="00D45F14">
      <w:pPr>
        <w:rPr>
          <w:rFonts w:ascii="Arial Black" w:hAnsi="Arial Black" w:cs="Arial"/>
          <w:b/>
          <w:color w:val="808080"/>
          <w:spacing w:val="-8"/>
          <w:sz w:val="20"/>
        </w:rPr>
      </w:pPr>
    </w:p>
    <w:p w:rsidR="008D2EC9" w:rsidRDefault="00ED1C7E" w:rsidP="00927DE3">
      <w:pPr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</w:pPr>
      <w:r w:rsidRPr="00927DE3">
        <w:rPr>
          <w:rFonts w:ascii="Arial Black" w:eastAsia="MS Mincho" w:hAnsi="Arial Black" w:cs="Arial Black"/>
          <w:b/>
          <w:bCs/>
          <w:color w:val="808080"/>
          <w:spacing w:val="-4"/>
          <w:sz w:val="36"/>
          <w:szCs w:val="36"/>
          <w:lang w:val="es-ES" w:eastAsia="es-ES"/>
        </w:rPr>
        <w:t xml:space="preserve">Kutxabank </w:t>
      </w:r>
      <w:r w:rsidR="00927DE3" w:rsidRPr="00927DE3">
        <w:rPr>
          <w:rFonts w:ascii="Arial Black" w:eastAsia="MS Mincho" w:hAnsi="Arial Black" w:cs="Arial Black"/>
          <w:b/>
          <w:bCs/>
          <w:color w:val="808080"/>
          <w:spacing w:val="-4"/>
          <w:sz w:val="36"/>
          <w:szCs w:val="36"/>
          <w:lang w:val="es-ES" w:eastAsia="es-ES"/>
        </w:rPr>
        <w:t>genera un beneficio de 157,6 millones</w:t>
      </w:r>
      <w:r w:rsidR="00927DE3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 xml:space="preserve"> </w:t>
      </w:r>
      <w:r w:rsidRPr="00985E0C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 xml:space="preserve">de euros en el </w:t>
      </w:r>
      <w:r w:rsidR="00927DE3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>terce</w:t>
      </w:r>
      <w:r w:rsidRPr="00985E0C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 xml:space="preserve">r </w:t>
      </w:r>
      <w:r w:rsidR="00927DE3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>trimestre</w:t>
      </w:r>
      <w:r w:rsidRPr="00985E0C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 xml:space="preserve">, un </w:t>
      </w:r>
      <w:r w:rsidR="00927DE3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>11,7</w:t>
      </w:r>
      <w:r w:rsidRPr="00985E0C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>% más</w:t>
      </w:r>
    </w:p>
    <w:p w:rsidR="00ED1C7E" w:rsidRPr="00985E0C" w:rsidRDefault="00ED1C7E" w:rsidP="00927DE3">
      <w:pPr>
        <w:rPr>
          <w:rFonts w:ascii="Arial Black" w:hAnsi="Arial Black" w:cs="Arial"/>
          <w:b/>
          <w:color w:val="808080"/>
          <w:spacing w:val="-12"/>
          <w:sz w:val="36"/>
          <w:szCs w:val="36"/>
        </w:rPr>
      </w:pPr>
      <w:r w:rsidRPr="00985E0C">
        <w:rPr>
          <w:rFonts w:ascii="Arial Black" w:eastAsia="MS Mincho" w:hAnsi="Arial Black" w:cs="Arial Black"/>
          <w:b/>
          <w:bCs/>
          <w:color w:val="808080"/>
          <w:sz w:val="36"/>
          <w:szCs w:val="36"/>
          <w:lang w:val="es-ES" w:eastAsia="es-ES"/>
        </w:rPr>
        <w:t xml:space="preserve"> </w:t>
      </w:r>
    </w:p>
    <w:p w:rsidR="008D2EC9" w:rsidRDefault="008D2EC9" w:rsidP="00053154">
      <w:pPr>
        <w:ind w:left="993" w:hanging="284"/>
        <w:rPr>
          <w:rFonts w:ascii="Arial Black" w:hAnsi="Arial Black" w:cs="Arial"/>
          <w:b/>
          <w:color w:val="C00000"/>
          <w:sz w:val="32"/>
          <w:szCs w:val="32"/>
        </w:rPr>
      </w:pPr>
      <w:r w:rsidRPr="00053154">
        <w:rPr>
          <w:rFonts w:ascii="Arial Black" w:hAnsi="Arial Black" w:cs="Arial"/>
          <w:b/>
          <w:color w:val="C62128"/>
          <w:sz w:val="32"/>
          <w:szCs w:val="32"/>
        </w:rPr>
        <w:t xml:space="preserve">• </w:t>
      </w:r>
      <w:r w:rsidRPr="008A0E59">
        <w:rPr>
          <w:rFonts w:ascii="Arial" w:hAnsi="Arial" w:cs="Arial"/>
          <w:b/>
        </w:rPr>
        <w:t>Los préstamos para inversiones a empresas crecen un 96%, con más de 90.000 nuevas operaciones de crédito</w:t>
      </w:r>
    </w:p>
    <w:p w:rsidR="00841D33" w:rsidRPr="00053154" w:rsidRDefault="00841D33" w:rsidP="00053154">
      <w:pPr>
        <w:ind w:left="993" w:hanging="284"/>
        <w:rPr>
          <w:rFonts w:ascii="Arial" w:hAnsi="Arial" w:cs="Arial"/>
          <w:b/>
        </w:rPr>
      </w:pPr>
      <w:r w:rsidRPr="00CD5596">
        <w:rPr>
          <w:rFonts w:ascii="Arial Black" w:hAnsi="Arial Black" w:cs="Arial"/>
          <w:b/>
          <w:color w:val="C00000"/>
          <w:sz w:val="32"/>
          <w:szCs w:val="32"/>
        </w:rPr>
        <w:t>•</w:t>
      </w:r>
      <w:r w:rsidRPr="00053154">
        <w:rPr>
          <w:rFonts w:ascii="Arial Black" w:hAnsi="Arial Black" w:cs="Arial"/>
          <w:b/>
          <w:color w:val="FF0000"/>
          <w:sz w:val="32"/>
          <w:szCs w:val="32"/>
        </w:rPr>
        <w:t xml:space="preserve"> </w:t>
      </w:r>
      <w:r w:rsidR="00927DE3" w:rsidRPr="00192DCF">
        <w:rPr>
          <w:rFonts w:ascii="Arial" w:hAnsi="Arial" w:cs="Arial"/>
          <w:b/>
        </w:rPr>
        <w:t xml:space="preserve">El </w:t>
      </w:r>
      <w:r w:rsidR="00927DE3">
        <w:rPr>
          <w:rFonts w:ascii="Arial" w:hAnsi="Arial" w:cs="Arial"/>
          <w:b/>
        </w:rPr>
        <w:t>Banco vasco</w:t>
      </w:r>
      <w:r w:rsidR="00927DE3" w:rsidRPr="00192DCF">
        <w:rPr>
          <w:rFonts w:ascii="Arial" w:hAnsi="Arial" w:cs="Arial"/>
          <w:b/>
        </w:rPr>
        <w:t xml:space="preserve"> mantiene </w:t>
      </w:r>
      <w:r w:rsidR="00927DE3">
        <w:rPr>
          <w:rFonts w:ascii="Arial" w:hAnsi="Arial" w:cs="Arial"/>
          <w:b/>
        </w:rPr>
        <w:t>la</w:t>
      </w:r>
      <w:r w:rsidR="00927DE3" w:rsidRPr="00192DCF">
        <w:rPr>
          <w:rFonts w:ascii="Arial" w:hAnsi="Arial" w:cs="Arial"/>
          <w:b/>
        </w:rPr>
        <w:t xml:space="preserve"> máxima prudencia al </w:t>
      </w:r>
      <w:r w:rsidR="00927DE3" w:rsidRPr="00BA3707">
        <w:rPr>
          <w:rFonts w:ascii="Arial" w:hAnsi="Arial" w:cs="Arial"/>
          <w:b/>
        </w:rPr>
        <w:t xml:space="preserve">destinar </w:t>
      </w:r>
      <w:r w:rsidR="00927DE3">
        <w:rPr>
          <w:rFonts w:ascii="Arial" w:hAnsi="Arial" w:cs="Arial"/>
          <w:b/>
        </w:rPr>
        <w:t>39</w:t>
      </w:r>
      <w:r w:rsidR="00205B1A">
        <w:rPr>
          <w:rFonts w:ascii="Arial" w:hAnsi="Arial" w:cs="Arial"/>
          <w:b/>
        </w:rPr>
        <w:t>5</w:t>
      </w:r>
      <w:r w:rsidR="00927DE3">
        <w:rPr>
          <w:rFonts w:ascii="Arial" w:hAnsi="Arial" w:cs="Arial"/>
          <w:b/>
        </w:rPr>
        <w:t>,1</w:t>
      </w:r>
      <w:r w:rsidR="00927DE3" w:rsidRPr="002E382B">
        <w:rPr>
          <w:rFonts w:ascii="Arial" w:hAnsi="Arial" w:cs="Arial"/>
          <w:b/>
        </w:rPr>
        <w:t xml:space="preserve"> millones </w:t>
      </w:r>
      <w:r w:rsidR="00927DE3">
        <w:rPr>
          <w:rFonts w:ascii="Arial" w:hAnsi="Arial" w:cs="Arial"/>
          <w:b/>
        </w:rPr>
        <w:t xml:space="preserve">a dotaciones para </w:t>
      </w:r>
      <w:r w:rsidR="00927DE3" w:rsidRPr="002E382B">
        <w:rPr>
          <w:rFonts w:ascii="Arial" w:hAnsi="Arial" w:cs="Arial"/>
          <w:b/>
        </w:rPr>
        <w:t>hacer frente en los próximos meses a un exigente entorno normativo y regulatorio</w:t>
      </w:r>
    </w:p>
    <w:p w:rsidR="00841D33" w:rsidRDefault="00841D33" w:rsidP="007B5043">
      <w:pPr>
        <w:ind w:left="993" w:hanging="284"/>
        <w:rPr>
          <w:rFonts w:ascii="Arial" w:hAnsi="Arial" w:cs="Arial"/>
          <w:b/>
        </w:rPr>
      </w:pPr>
      <w:r w:rsidRPr="00053154">
        <w:rPr>
          <w:rFonts w:ascii="Arial Black" w:hAnsi="Arial Black" w:cs="Arial"/>
          <w:b/>
          <w:color w:val="C62128"/>
          <w:sz w:val="32"/>
          <w:szCs w:val="32"/>
        </w:rPr>
        <w:t xml:space="preserve">• </w:t>
      </w:r>
      <w:r w:rsidR="00053154" w:rsidRPr="0077752C">
        <w:rPr>
          <w:rFonts w:ascii="Arial" w:hAnsi="Arial" w:cs="Arial"/>
          <w:b/>
        </w:rPr>
        <w:t>El índice de mora del Grupo</w:t>
      </w:r>
      <w:r w:rsidR="00C92846" w:rsidRPr="0077752C">
        <w:rPr>
          <w:rFonts w:ascii="Arial" w:hAnsi="Arial" w:cs="Arial"/>
          <w:b/>
        </w:rPr>
        <w:t xml:space="preserve">, </w:t>
      </w:r>
      <w:r w:rsidR="00205B1A" w:rsidRPr="0077752C">
        <w:rPr>
          <w:rFonts w:ascii="Arial" w:hAnsi="Arial" w:cs="Arial"/>
          <w:b/>
        </w:rPr>
        <w:t>9,20%,</w:t>
      </w:r>
      <w:r w:rsidR="00053154" w:rsidRPr="0077752C">
        <w:rPr>
          <w:rFonts w:ascii="Arial" w:hAnsi="Arial" w:cs="Arial"/>
          <w:b/>
        </w:rPr>
        <w:t xml:space="preserve"> confirma la t</w:t>
      </w:r>
      <w:r w:rsidR="0058420F" w:rsidRPr="0077752C">
        <w:rPr>
          <w:rFonts w:ascii="Arial" w:hAnsi="Arial" w:cs="Arial"/>
          <w:b/>
        </w:rPr>
        <w:t xml:space="preserve">endencia a la baja, </w:t>
      </w:r>
      <w:r w:rsidR="005667BD" w:rsidRPr="0077752C">
        <w:rPr>
          <w:rFonts w:ascii="Arial" w:hAnsi="Arial" w:cs="Arial"/>
          <w:b/>
        </w:rPr>
        <w:t xml:space="preserve">con un descenso </w:t>
      </w:r>
      <w:r w:rsidR="0077752C" w:rsidRPr="0077752C">
        <w:rPr>
          <w:rFonts w:ascii="Arial" w:hAnsi="Arial" w:cs="Arial"/>
          <w:b/>
        </w:rPr>
        <w:t xml:space="preserve">en el año </w:t>
      </w:r>
      <w:r w:rsidR="005667BD" w:rsidRPr="0077752C">
        <w:rPr>
          <w:rFonts w:ascii="Arial" w:hAnsi="Arial" w:cs="Arial"/>
          <w:b/>
        </w:rPr>
        <w:t xml:space="preserve">de 731 millones </w:t>
      </w:r>
      <w:r w:rsidR="00002ECD" w:rsidRPr="0077752C">
        <w:rPr>
          <w:rFonts w:ascii="Arial" w:hAnsi="Arial" w:cs="Arial"/>
          <w:b/>
        </w:rPr>
        <w:t>de</w:t>
      </w:r>
      <w:r w:rsidR="005667BD" w:rsidRPr="0077752C">
        <w:rPr>
          <w:rFonts w:ascii="Arial" w:hAnsi="Arial" w:cs="Arial"/>
          <w:b/>
        </w:rPr>
        <w:t xml:space="preserve"> activos dudosos</w:t>
      </w:r>
    </w:p>
    <w:p w:rsidR="00B90BDE" w:rsidRPr="00053154" w:rsidRDefault="00B90BDE" w:rsidP="00E60D2B">
      <w:pPr>
        <w:ind w:left="993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60D2B" w:rsidRDefault="00E60D2B" w:rsidP="007B5043">
      <w:pPr>
        <w:ind w:left="993" w:hanging="284"/>
        <w:rPr>
          <w:rFonts w:ascii="Arial" w:hAnsi="Arial" w:cs="Arial"/>
          <w:b/>
        </w:rPr>
      </w:pPr>
    </w:p>
    <w:p w:rsidR="00E67AA0" w:rsidRPr="00192DCF" w:rsidRDefault="00E67AA0" w:rsidP="009A31BB">
      <w:pPr>
        <w:ind w:left="993" w:hanging="284"/>
        <w:rPr>
          <w:rFonts w:ascii="Arial" w:hAnsi="Arial" w:cs="Arial"/>
          <w:b/>
        </w:rPr>
      </w:pPr>
    </w:p>
    <w:p w:rsidR="00DE7769" w:rsidRDefault="00C9284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29</w:t>
      </w:r>
      <w:r w:rsidR="0057623C" w:rsidRPr="00192DCF">
        <w:rPr>
          <w:rFonts w:ascii="Arial" w:hAnsi="Arial" w:cs="Arial"/>
          <w:b/>
          <w:szCs w:val="24"/>
        </w:rPr>
        <w:t xml:space="preserve"> de</w:t>
      </w:r>
      <w:r w:rsidR="00A278FC" w:rsidRPr="00192DC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octubre</w:t>
      </w:r>
      <w:r w:rsidR="0057623C" w:rsidRPr="00192DCF">
        <w:rPr>
          <w:rFonts w:ascii="Arial" w:hAnsi="Arial" w:cs="Arial"/>
          <w:b/>
          <w:szCs w:val="24"/>
        </w:rPr>
        <w:t xml:space="preserve"> </w:t>
      </w:r>
      <w:r w:rsidR="00A278FC" w:rsidRPr="00192DCF">
        <w:rPr>
          <w:rFonts w:ascii="Arial" w:hAnsi="Arial" w:cs="Arial"/>
          <w:b/>
          <w:szCs w:val="24"/>
        </w:rPr>
        <w:t xml:space="preserve">de </w:t>
      </w:r>
      <w:r w:rsidR="009A31BB" w:rsidRPr="00192DCF">
        <w:rPr>
          <w:rFonts w:ascii="Arial" w:hAnsi="Arial" w:cs="Arial"/>
          <w:b/>
          <w:szCs w:val="24"/>
        </w:rPr>
        <w:t>201</w:t>
      </w:r>
      <w:r w:rsidR="00BC415D">
        <w:rPr>
          <w:rFonts w:ascii="Arial" w:hAnsi="Arial" w:cs="Arial"/>
          <w:b/>
          <w:szCs w:val="24"/>
        </w:rPr>
        <w:t>5</w:t>
      </w:r>
      <w:r w:rsidR="009A31BB" w:rsidRPr="00192DCF">
        <w:rPr>
          <w:rFonts w:ascii="Arial" w:hAnsi="Arial" w:cs="Arial"/>
          <w:b/>
          <w:szCs w:val="24"/>
        </w:rPr>
        <w:t xml:space="preserve">. </w:t>
      </w:r>
      <w:r w:rsidR="00BC415D" w:rsidRPr="00BC415D">
        <w:rPr>
          <w:rFonts w:ascii="Arial" w:hAnsi="Arial" w:cs="Arial"/>
          <w:szCs w:val="24"/>
        </w:rPr>
        <w:t xml:space="preserve">El Grupo Kutxabank ha </w:t>
      </w:r>
      <w:r>
        <w:rPr>
          <w:rFonts w:ascii="Arial" w:hAnsi="Arial" w:cs="Arial"/>
          <w:szCs w:val="24"/>
        </w:rPr>
        <w:t>generado durante los nueve primeros meses de 2015</w:t>
      </w:r>
      <w:r w:rsidR="00BC415D" w:rsidRPr="00BC415D">
        <w:rPr>
          <w:rFonts w:ascii="Arial" w:hAnsi="Arial" w:cs="Arial"/>
          <w:szCs w:val="24"/>
        </w:rPr>
        <w:t xml:space="preserve"> </w:t>
      </w:r>
      <w:r w:rsidR="00826727">
        <w:rPr>
          <w:rFonts w:ascii="Arial" w:hAnsi="Arial" w:cs="Arial"/>
          <w:szCs w:val="24"/>
        </w:rPr>
        <w:t xml:space="preserve">un </w:t>
      </w:r>
      <w:r w:rsidR="00826727" w:rsidRPr="002E382B">
        <w:rPr>
          <w:rFonts w:ascii="Arial" w:hAnsi="Arial" w:cs="Arial"/>
          <w:b/>
          <w:szCs w:val="24"/>
        </w:rPr>
        <w:t xml:space="preserve">beneficio consolidado de </w:t>
      </w:r>
      <w:r>
        <w:rPr>
          <w:rFonts w:ascii="Arial" w:hAnsi="Arial" w:cs="Arial"/>
          <w:b/>
          <w:szCs w:val="24"/>
        </w:rPr>
        <w:t>157,6</w:t>
      </w:r>
      <w:r w:rsidR="00826727" w:rsidRPr="002E382B">
        <w:rPr>
          <w:rFonts w:ascii="Arial" w:hAnsi="Arial" w:cs="Arial"/>
          <w:b/>
          <w:szCs w:val="24"/>
        </w:rPr>
        <w:t xml:space="preserve"> millones</w:t>
      </w:r>
      <w:r w:rsidR="00BC415D" w:rsidRPr="00BC415D">
        <w:rPr>
          <w:rFonts w:ascii="Arial" w:hAnsi="Arial" w:cs="Arial"/>
          <w:szCs w:val="24"/>
        </w:rPr>
        <w:t xml:space="preserve"> de euros</w:t>
      </w:r>
      <w:r w:rsidR="00E830D2">
        <w:rPr>
          <w:rFonts w:ascii="Arial" w:hAnsi="Arial" w:cs="Arial"/>
          <w:szCs w:val="24"/>
        </w:rPr>
        <w:t>,</w:t>
      </w:r>
      <w:r w:rsidR="00BC415D" w:rsidRPr="00BC415D">
        <w:rPr>
          <w:rFonts w:ascii="Arial" w:hAnsi="Arial" w:cs="Arial"/>
          <w:szCs w:val="24"/>
        </w:rPr>
        <w:t xml:space="preserve"> un 1</w:t>
      </w:r>
      <w:r>
        <w:rPr>
          <w:rFonts w:ascii="Arial" w:hAnsi="Arial" w:cs="Arial"/>
          <w:szCs w:val="24"/>
        </w:rPr>
        <w:t>1,7</w:t>
      </w:r>
      <w:r w:rsidR="00BC415D" w:rsidRPr="00BC415D">
        <w:rPr>
          <w:rFonts w:ascii="Arial" w:hAnsi="Arial" w:cs="Arial"/>
          <w:szCs w:val="24"/>
        </w:rPr>
        <w:t xml:space="preserve">% más </w:t>
      </w:r>
      <w:r w:rsidR="00826727">
        <w:rPr>
          <w:rFonts w:ascii="Arial" w:hAnsi="Arial" w:cs="Arial"/>
          <w:szCs w:val="24"/>
        </w:rPr>
        <w:t>con relación al mismo periodo de</w:t>
      </w:r>
      <w:r w:rsidR="00DE7769">
        <w:rPr>
          <w:rFonts w:ascii="Arial" w:hAnsi="Arial" w:cs="Arial"/>
          <w:szCs w:val="24"/>
        </w:rPr>
        <w:t xml:space="preserve"> 2014</w:t>
      </w:r>
      <w:r w:rsidR="00BC415D" w:rsidRPr="00BC415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En el tercer</w:t>
      </w:r>
      <w:r w:rsidR="00DE7769" w:rsidRPr="00DE77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trimestre </w:t>
      </w:r>
      <w:r w:rsidR="00DE7769" w:rsidRPr="00DE7769">
        <w:rPr>
          <w:rFonts w:ascii="Arial" w:hAnsi="Arial" w:cs="Arial"/>
          <w:szCs w:val="24"/>
        </w:rPr>
        <w:t xml:space="preserve">del ejercicio se </w:t>
      </w:r>
      <w:r w:rsidR="0006781A">
        <w:rPr>
          <w:rFonts w:ascii="Arial" w:hAnsi="Arial" w:cs="Arial"/>
          <w:szCs w:val="24"/>
        </w:rPr>
        <w:t xml:space="preserve">ha seguido </w:t>
      </w:r>
      <w:r w:rsidR="00DE7769" w:rsidRPr="00DE7769">
        <w:rPr>
          <w:rFonts w:ascii="Arial" w:hAnsi="Arial" w:cs="Arial"/>
          <w:szCs w:val="24"/>
        </w:rPr>
        <w:t>observan</w:t>
      </w:r>
      <w:r w:rsidR="0006781A">
        <w:rPr>
          <w:rFonts w:ascii="Arial" w:hAnsi="Arial" w:cs="Arial"/>
          <w:szCs w:val="24"/>
        </w:rPr>
        <w:t>do</w:t>
      </w:r>
      <w:r w:rsidR="00DE7769" w:rsidRPr="00DE7769">
        <w:rPr>
          <w:rFonts w:ascii="Arial" w:hAnsi="Arial" w:cs="Arial"/>
          <w:szCs w:val="24"/>
        </w:rPr>
        <w:t xml:space="preserve"> una clara tendencia creciente de la actividad comercial</w:t>
      </w:r>
      <w:r>
        <w:rPr>
          <w:rFonts w:ascii="Arial" w:hAnsi="Arial" w:cs="Arial"/>
          <w:szCs w:val="24"/>
        </w:rPr>
        <w:t>, hipotecaria y empresarial</w:t>
      </w:r>
      <w:r w:rsidR="00DE7769" w:rsidRPr="00DE7769">
        <w:rPr>
          <w:rFonts w:ascii="Arial" w:hAnsi="Arial" w:cs="Arial"/>
          <w:szCs w:val="24"/>
        </w:rPr>
        <w:t xml:space="preserve">, ayudada por la reactivación de la demanda de crédito solvente, y </w:t>
      </w:r>
      <w:r>
        <w:rPr>
          <w:rFonts w:ascii="Arial" w:hAnsi="Arial" w:cs="Arial"/>
          <w:szCs w:val="24"/>
        </w:rPr>
        <w:t xml:space="preserve">con </w:t>
      </w:r>
      <w:r w:rsidR="00DE7769" w:rsidRPr="00DE7769">
        <w:rPr>
          <w:rFonts w:ascii="Arial" w:hAnsi="Arial" w:cs="Arial"/>
          <w:szCs w:val="24"/>
        </w:rPr>
        <w:t xml:space="preserve">un descenso </w:t>
      </w:r>
      <w:r>
        <w:rPr>
          <w:rFonts w:ascii="Arial" w:hAnsi="Arial" w:cs="Arial"/>
          <w:szCs w:val="24"/>
        </w:rPr>
        <w:t xml:space="preserve">sostenido </w:t>
      </w:r>
      <w:r w:rsidR="00DE7769" w:rsidRPr="00DE7769">
        <w:rPr>
          <w:rFonts w:ascii="Arial" w:hAnsi="Arial" w:cs="Arial"/>
          <w:szCs w:val="24"/>
        </w:rPr>
        <w:t>de los ratios de morosidad.</w:t>
      </w:r>
    </w:p>
    <w:p w:rsidR="00DE7769" w:rsidRDefault="00DE7769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DF5E46" w:rsidRDefault="00A557F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27940</wp:posOffset>
                </wp:positionV>
                <wp:extent cx="6122670" cy="508000"/>
                <wp:effectExtent l="8890" t="15240" r="1524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DE" w:rsidRPr="00EE4474" w:rsidRDefault="00B90BDE" w:rsidP="00144DA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Se mantienen los  signos de recuperación y una clara tendencia al alza de la actividad comercial, hipotecaria y empresarial, con un descenso de la morosidad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2.2pt;width:482.1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" strokecolor="#c00000" strokeweight="1.5pt">
                <v:textbox>
                  <w:txbxContent>
                    <w:p w:rsidR="00B90BDE" w:rsidRPr="00EE4474" w:rsidRDefault="00B90BDE" w:rsidP="00144DA7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Se mantienen los  signos de recuperación y una clara tendencia al alza de la actividad comercial, hipotecaria y empresarial, con un descenso de la morosidad </w:t>
                      </w:r>
                    </w:p>
                  </w:txbxContent>
                </v:textbox>
              </v:shape>
            </w:pict>
          </mc:Fallback>
        </mc:AlternateContent>
      </w:r>
    </w:p>
    <w:p w:rsidR="00DF5E46" w:rsidRDefault="00DF5E4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DF5E46" w:rsidRDefault="00DF5E4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DF5E46" w:rsidRDefault="00DF5E4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C415D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BC415D">
        <w:rPr>
          <w:rFonts w:ascii="Arial" w:hAnsi="Arial" w:cs="Arial"/>
          <w:szCs w:val="24"/>
        </w:rPr>
        <w:t>Este resultado</w:t>
      </w:r>
      <w:r w:rsidR="005B1DF6">
        <w:rPr>
          <w:rFonts w:ascii="Arial" w:hAnsi="Arial" w:cs="Arial"/>
          <w:szCs w:val="24"/>
        </w:rPr>
        <w:t xml:space="preserve"> –</w:t>
      </w:r>
      <w:r w:rsidR="005B1DF6" w:rsidRPr="002E382B">
        <w:rPr>
          <w:rFonts w:ascii="Arial" w:hAnsi="Arial" w:cs="Arial"/>
          <w:b/>
          <w:szCs w:val="24"/>
        </w:rPr>
        <w:t>CajaSur</w:t>
      </w:r>
      <w:r w:rsidR="005B1DF6">
        <w:rPr>
          <w:rFonts w:ascii="Arial" w:hAnsi="Arial" w:cs="Arial"/>
          <w:szCs w:val="24"/>
        </w:rPr>
        <w:t xml:space="preserve"> </w:t>
      </w:r>
      <w:r w:rsidR="00E830D2">
        <w:rPr>
          <w:rFonts w:ascii="Arial" w:hAnsi="Arial" w:cs="Arial"/>
          <w:szCs w:val="24"/>
        </w:rPr>
        <w:t xml:space="preserve"> ha </w:t>
      </w:r>
      <w:r w:rsidR="005B1DF6">
        <w:rPr>
          <w:rFonts w:ascii="Arial" w:hAnsi="Arial" w:cs="Arial"/>
          <w:szCs w:val="24"/>
        </w:rPr>
        <w:t>contribuido</w:t>
      </w:r>
      <w:r w:rsidR="00E830D2">
        <w:rPr>
          <w:rFonts w:ascii="Arial" w:hAnsi="Arial" w:cs="Arial"/>
          <w:szCs w:val="24"/>
        </w:rPr>
        <w:t xml:space="preserve"> c</w:t>
      </w:r>
      <w:r w:rsidR="00E830D2" w:rsidRPr="00BC415D">
        <w:rPr>
          <w:rFonts w:ascii="Arial" w:hAnsi="Arial" w:cs="Arial"/>
          <w:szCs w:val="24"/>
        </w:rPr>
        <w:t xml:space="preserve">on una aportación positiva </w:t>
      </w:r>
      <w:r w:rsidR="005B1DF6">
        <w:rPr>
          <w:rFonts w:ascii="Arial" w:hAnsi="Arial" w:cs="Arial"/>
          <w:szCs w:val="24"/>
        </w:rPr>
        <w:t>de</w:t>
      </w:r>
      <w:r w:rsidR="00E830D2" w:rsidRPr="002E382B">
        <w:rPr>
          <w:rFonts w:ascii="Arial" w:hAnsi="Arial" w:cs="Arial"/>
          <w:b/>
          <w:szCs w:val="24"/>
        </w:rPr>
        <w:t xml:space="preserve"> 1</w:t>
      </w:r>
      <w:r w:rsidR="00E830D2">
        <w:rPr>
          <w:rFonts w:ascii="Arial" w:hAnsi="Arial" w:cs="Arial"/>
          <w:b/>
          <w:szCs w:val="24"/>
        </w:rPr>
        <w:t>4,</w:t>
      </w:r>
      <w:r w:rsidR="00E830D2" w:rsidRPr="002E382B">
        <w:rPr>
          <w:rFonts w:ascii="Arial" w:hAnsi="Arial" w:cs="Arial"/>
          <w:b/>
          <w:szCs w:val="24"/>
        </w:rPr>
        <w:t>7 millones</w:t>
      </w:r>
      <w:r w:rsidR="00E830D2" w:rsidRPr="00BC415D">
        <w:rPr>
          <w:rFonts w:ascii="Arial" w:hAnsi="Arial" w:cs="Arial"/>
          <w:szCs w:val="24"/>
        </w:rPr>
        <w:t xml:space="preserve"> de euros</w:t>
      </w:r>
      <w:r w:rsidR="00E830D2">
        <w:rPr>
          <w:rFonts w:ascii="Arial" w:hAnsi="Arial" w:cs="Arial"/>
          <w:szCs w:val="24"/>
        </w:rPr>
        <w:t>, un 7,2% más</w:t>
      </w:r>
      <w:r w:rsidR="005B1DF6">
        <w:rPr>
          <w:rFonts w:ascii="Arial" w:hAnsi="Arial" w:cs="Arial"/>
          <w:szCs w:val="24"/>
        </w:rPr>
        <w:t>–</w:t>
      </w:r>
      <w:r w:rsidR="00E830D2" w:rsidRPr="00BC415D">
        <w:rPr>
          <w:rFonts w:ascii="Arial" w:hAnsi="Arial" w:cs="Arial"/>
          <w:szCs w:val="24"/>
        </w:rPr>
        <w:t xml:space="preserve"> </w:t>
      </w:r>
      <w:r w:rsidR="0006781A">
        <w:rPr>
          <w:rFonts w:ascii="Arial" w:hAnsi="Arial" w:cs="Arial"/>
          <w:szCs w:val="24"/>
        </w:rPr>
        <w:t>ha estado</w:t>
      </w:r>
      <w:r w:rsidRPr="00BC415D">
        <w:rPr>
          <w:rFonts w:ascii="Arial" w:hAnsi="Arial" w:cs="Arial"/>
          <w:szCs w:val="24"/>
        </w:rPr>
        <w:t xml:space="preserve"> marcado</w:t>
      </w:r>
      <w:r w:rsidR="0006781A">
        <w:rPr>
          <w:rFonts w:ascii="Arial" w:hAnsi="Arial" w:cs="Arial"/>
          <w:szCs w:val="24"/>
        </w:rPr>
        <w:t>, por tanto,</w:t>
      </w:r>
      <w:r w:rsidRPr="00BC415D">
        <w:rPr>
          <w:rFonts w:ascii="Arial" w:hAnsi="Arial" w:cs="Arial"/>
          <w:szCs w:val="24"/>
        </w:rPr>
        <w:t xml:space="preserve"> por la confirmación de la mejora de los indicadores macroeconómicos, pero también por la continuidad de </w:t>
      </w:r>
      <w:r w:rsidRPr="002E382B">
        <w:rPr>
          <w:rFonts w:ascii="Arial" w:hAnsi="Arial" w:cs="Arial"/>
          <w:b/>
          <w:szCs w:val="24"/>
        </w:rPr>
        <w:t>factores penalizadores</w:t>
      </w:r>
      <w:r w:rsidRPr="00BC415D">
        <w:rPr>
          <w:rFonts w:ascii="Arial" w:hAnsi="Arial" w:cs="Arial"/>
          <w:szCs w:val="24"/>
        </w:rPr>
        <w:t xml:space="preserve"> para </w:t>
      </w:r>
      <w:r w:rsidR="0006781A">
        <w:rPr>
          <w:rFonts w:ascii="Arial" w:hAnsi="Arial" w:cs="Arial"/>
          <w:szCs w:val="24"/>
        </w:rPr>
        <w:t>la actividad</w:t>
      </w:r>
      <w:r w:rsidRPr="00BC415D">
        <w:rPr>
          <w:rFonts w:ascii="Arial" w:hAnsi="Arial" w:cs="Arial"/>
          <w:szCs w:val="24"/>
        </w:rPr>
        <w:t xml:space="preserve"> </w:t>
      </w:r>
      <w:r w:rsidR="0006781A">
        <w:rPr>
          <w:rFonts w:ascii="Arial" w:hAnsi="Arial" w:cs="Arial"/>
          <w:szCs w:val="24"/>
        </w:rPr>
        <w:t>financiera</w:t>
      </w:r>
      <w:r w:rsidRPr="00BC415D">
        <w:rPr>
          <w:rFonts w:ascii="Arial" w:hAnsi="Arial" w:cs="Arial"/>
          <w:szCs w:val="24"/>
        </w:rPr>
        <w:t>, como son l</w:t>
      </w:r>
      <w:r w:rsidR="0006781A">
        <w:rPr>
          <w:rFonts w:ascii="Arial" w:hAnsi="Arial" w:cs="Arial"/>
          <w:szCs w:val="24"/>
        </w:rPr>
        <w:t>a persistencia de l</w:t>
      </w:r>
      <w:r w:rsidRPr="00BC415D">
        <w:rPr>
          <w:rFonts w:ascii="Arial" w:hAnsi="Arial" w:cs="Arial"/>
          <w:szCs w:val="24"/>
        </w:rPr>
        <w:t xml:space="preserve">os bajísimos </w:t>
      </w:r>
      <w:r w:rsidRPr="002E382B">
        <w:rPr>
          <w:rFonts w:ascii="Arial" w:hAnsi="Arial" w:cs="Arial"/>
          <w:b/>
          <w:szCs w:val="24"/>
        </w:rPr>
        <w:t>tipos de interés</w:t>
      </w:r>
      <w:r w:rsidRPr="00BC415D">
        <w:rPr>
          <w:rFonts w:ascii="Arial" w:hAnsi="Arial" w:cs="Arial"/>
          <w:szCs w:val="24"/>
        </w:rPr>
        <w:t xml:space="preserve"> de</w:t>
      </w:r>
      <w:r w:rsidR="0006781A">
        <w:rPr>
          <w:rFonts w:ascii="Arial" w:hAnsi="Arial" w:cs="Arial"/>
          <w:szCs w:val="24"/>
        </w:rPr>
        <w:t>l</w:t>
      </w:r>
      <w:r w:rsidRPr="00BC415D">
        <w:rPr>
          <w:rFonts w:ascii="Arial" w:hAnsi="Arial" w:cs="Arial"/>
          <w:szCs w:val="24"/>
        </w:rPr>
        <w:t xml:space="preserve"> mercado y </w:t>
      </w:r>
      <w:r w:rsidR="00CB6266">
        <w:rPr>
          <w:rFonts w:ascii="Arial" w:hAnsi="Arial" w:cs="Arial"/>
          <w:szCs w:val="24"/>
        </w:rPr>
        <w:t xml:space="preserve">el </w:t>
      </w:r>
      <w:r w:rsidRPr="002E382B">
        <w:rPr>
          <w:rFonts w:ascii="Arial" w:hAnsi="Arial" w:cs="Arial"/>
          <w:b/>
          <w:szCs w:val="24"/>
        </w:rPr>
        <w:t>des</w:t>
      </w:r>
      <w:r w:rsidR="0006781A" w:rsidRPr="002E382B">
        <w:rPr>
          <w:rFonts w:ascii="Arial" w:hAnsi="Arial" w:cs="Arial"/>
          <w:b/>
          <w:szCs w:val="24"/>
        </w:rPr>
        <w:t>a</w:t>
      </w:r>
      <w:r w:rsidRPr="002E382B">
        <w:rPr>
          <w:rFonts w:ascii="Arial" w:hAnsi="Arial" w:cs="Arial"/>
          <w:b/>
          <w:szCs w:val="24"/>
        </w:rPr>
        <w:t>palancamiento crediticio</w:t>
      </w:r>
      <w:r w:rsidRPr="00BC415D">
        <w:rPr>
          <w:rFonts w:ascii="Arial" w:hAnsi="Arial" w:cs="Arial"/>
          <w:szCs w:val="24"/>
        </w:rPr>
        <w:t xml:space="preserve"> del sistema. Este des</w:t>
      </w:r>
      <w:r w:rsidR="00CB6266">
        <w:rPr>
          <w:rFonts w:ascii="Arial" w:hAnsi="Arial" w:cs="Arial"/>
          <w:szCs w:val="24"/>
        </w:rPr>
        <w:t>endeuda</w:t>
      </w:r>
      <w:r w:rsidRPr="00BC415D">
        <w:rPr>
          <w:rFonts w:ascii="Arial" w:hAnsi="Arial" w:cs="Arial"/>
          <w:szCs w:val="24"/>
        </w:rPr>
        <w:t xml:space="preserve">miento, no obstante, se </w:t>
      </w:r>
      <w:r w:rsidR="005B1DF6">
        <w:rPr>
          <w:rFonts w:ascii="Arial" w:hAnsi="Arial" w:cs="Arial"/>
          <w:szCs w:val="24"/>
        </w:rPr>
        <w:t>produce a</w:t>
      </w:r>
      <w:r w:rsidRPr="00BC415D">
        <w:rPr>
          <w:rFonts w:ascii="Arial" w:hAnsi="Arial" w:cs="Arial"/>
          <w:szCs w:val="24"/>
        </w:rPr>
        <w:t xml:space="preserve"> menor ritmo</w:t>
      </w:r>
      <w:r w:rsidR="005B1DF6">
        <w:rPr>
          <w:rFonts w:ascii="Arial" w:hAnsi="Arial" w:cs="Arial"/>
          <w:szCs w:val="24"/>
        </w:rPr>
        <w:t xml:space="preserve"> y se </w:t>
      </w:r>
      <w:r w:rsidRPr="00BC415D">
        <w:rPr>
          <w:rFonts w:ascii="Arial" w:hAnsi="Arial" w:cs="Arial"/>
          <w:szCs w:val="24"/>
        </w:rPr>
        <w:t>vislumbr</w:t>
      </w:r>
      <w:r w:rsidR="005B1DF6">
        <w:rPr>
          <w:rFonts w:ascii="Arial" w:hAnsi="Arial" w:cs="Arial"/>
          <w:szCs w:val="24"/>
        </w:rPr>
        <w:t>a</w:t>
      </w:r>
      <w:r w:rsidRPr="00BC415D">
        <w:rPr>
          <w:rFonts w:ascii="Arial" w:hAnsi="Arial" w:cs="Arial"/>
          <w:szCs w:val="24"/>
        </w:rPr>
        <w:t xml:space="preserve"> ya </w:t>
      </w:r>
      <w:r w:rsidR="00CB6266">
        <w:rPr>
          <w:rFonts w:ascii="Arial" w:hAnsi="Arial" w:cs="Arial"/>
          <w:szCs w:val="24"/>
        </w:rPr>
        <w:t>un</w:t>
      </w:r>
      <w:r w:rsidRPr="00BC415D">
        <w:rPr>
          <w:rFonts w:ascii="Arial" w:hAnsi="Arial" w:cs="Arial"/>
          <w:szCs w:val="24"/>
        </w:rPr>
        <w:t xml:space="preserve"> cambio de tendencia, alentado por el sector público y </w:t>
      </w:r>
      <w:r w:rsidR="00CB6266">
        <w:rPr>
          <w:rFonts w:ascii="Arial" w:hAnsi="Arial" w:cs="Arial"/>
          <w:szCs w:val="24"/>
        </w:rPr>
        <w:t xml:space="preserve">por </w:t>
      </w:r>
      <w:r w:rsidRPr="00BC415D">
        <w:rPr>
          <w:rFonts w:ascii="Arial" w:hAnsi="Arial" w:cs="Arial"/>
          <w:szCs w:val="24"/>
        </w:rPr>
        <w:t>una mayor dema</w:t>
      </w:r>
      <w:r w:rsidR="00144DA7">
        <w:rPr>
          <w:rFonts w:ascii="Arial" w:hAnsi="Arial" w:cs="Arial"/>
          <w:szCs w:val="24"/>
        </w:rPr>
        <w:t>nda solvente del sector privado.</w:t>
      </w:r>
    </w:p>
    <w:p w:rsidR="00144DA7" w:rsidRDefault="00144DA7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2A4566" w:rsidRDefault="005B1DF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Pese a</w:t>
      </w:r>
      <w:r w:rsidR="00BC415D" w:rsidRPr="00BC415D">
        <w:rPr>
          <w:rFonts w:ascii="Arial" w:hAnsi="Arial" w:cs="Arial"/>
          <w:szCs w:val="24"/>
        </w:rPr>
        <w:t xml:space="preserve"> la persistencia de estos factores penalizadores y </w:t>
      </w:r>
      <w:r w:rsidR="00CB6266">
        <w:rPr>
          <w:rFonts w:ascii="Arial" w:hAnsi="Arial" w:cs="Arial"/>
          <w:szCs w:val="24"/>
        </w:rPr>
        <w:t xml:space="preserve">del </w:t>
      </w:r>
      <w:r>
        <w:rPr>
          <w:rFonts w:ascii="Arial" w:hAnsi="Arial" w:cs="Arial"/>
          <w:szCs w:val="24"/>
        </w:rPr>
        <w:t>importante</w:t>
      </w:r>
      <w:r w:rsidR="00CB6266">
        <w:rPr>
          <w:rFonts w:ascii="Arial" w:hAnsi="Arial" w:cs="Arial"/>
          <w:szCs w:val="24"/>
        </w:rPr>
        <w:t xml:space="preserve"> nivel de saneamientos que ha mantenido el Grupo, fiel a su </w:t>
      </w:r>
      <w:r w:rsidR="00BC415D" w:rsidRPr="00BC415D">
        <w:rPr>
          <w:rFonts w:ascii="Arial" w:hAnsi="Arial" w:cs="Arial"/>
          <w:szCs w:val="24"/>
        </w:rPr>
        <w:t xml:space="preserve">tradicional política de prudencia, se </w:t>
      </w:r>
      <w:r w:rsidR="00CB6266">
        <w:rPr>
          <w:rFonts w:ascii="Arial" w:hAnsi="Arial" w:cs="Arial"/>
          <w:szCs w:val="24"/>
        </w:rPr>
        <w:t xml:space="preserve">ha </w:t>
      </w:r>
      <w:r w:rsidR="00CB6266">
        <w:rPr>
          <w:rFonts w:ascii="Arial" w:hAnsi="Arial" w:cs="Arial"/>
          <w:szCs w:val="24"/>
        </w:rPr>
        <w:lastRenderedPageBreak/>
        <w:t>mejorado</w:t>
      </w:r>
      <w:r w:rsidR="00BC415D" w:rsidRPr="00BC415D">
        <w:rPr>
          <w:rFonts w:ascii="Arial" w:hAnsi="Arial" w:cs="Arial"/>
          <w:szCs w:val="24"/>
        </w:rPr>
        <w:t xml:space="preserve"> el resultado final con apoyo en las </w:t>
      </w:r>
      <w:r w:rsidR="00BC415D" w:rsidRPr="002E382B">
        <w:rPr>
          <w:rFonts w:ascii="Arial" w:hAnsi="Arial" w:cs="Arial"/>
          <w:b/>
          <w:szCs w:val="24"/>
        </w:rPr>
        <w:t>palancas clave</w:t>
      </w:r>
      <w:r w:rsidR="00BC415D" w:rsidRPr="00BC415D">
        <w:rPr>
          <w:rFonts w:ascii="Arial" w:hAnsi="Arial" w:cs="Arial"/>
          <w:szCs w:val="24"/>
        </w:rPr>
        <w:t xml:space="preserve"> ya manejadas en el ejercicio: gestión de márgenes con ayuda de los costes de pasivo, incremento de los rendimientos derivados de la mayor </w:t>
      </w:r>
      <w:r w:rsidR="00BC415D" w:rsidRPr="008A0E59">
        <w:rPr>
          <w:rFonts w:ascii="Arial" w:hAnsi="Arial" w:cs="Arial"/>
          <w:szCs w:val="24"/>
        </w:rPr>
        <w:t xml:space="preserve">comercialización de productos, política de contención de costes y mejora de las variables </w:t>
      </w:r>
      <w:r w:rsidR="008D2EC9" w:rsidRPr="008A0E59">
        <w:rPr>
          <w:rFonts w:ascii="Arial" w:hAnsi="Arial" w:cs="Arial"/>
          <w:szCs w:val="24"/>
        </w:rPr>
        <w:t>macroeconómicas</w:t>
      </w:r>
      <w:r w:rsidR="00CB6266" w:rsidRPr="008A0E59">
        <w:rPr>
          <w:rFonts w:ascii="Arial" w:hAnsi="Arial" w:cs="Arial"/>
          <w:szCs w:val="24"/>
        </w:rPr>
        <w:t xml:space="preserve">. A lo anterior </w:t>
      </w:r>
      <w:r w:rsidR="00BC415D" w:rsidRPr="008A0E59">
        <w:rPr>
          <w:rFonts w:ascii="Arial" w:hAnsi="Arial" w:cs="Arial"/>
          <w:szCs w:val="24"/>
        </w:rPr>
        <w:t xml:space="preserve">se </w:t>
      </w:r>
      <w:r w:rsidR="00CB6266" w:rsidRPr="008A0E59">
        <w:rPr>
          <w:rFonts w:ascii="Arial" w:hAnsi="Arial" w:cs="Arial"/>
          <w:szCs w:val="24"/>
        </w:rPr>
        <w:t>ha unido</w:t>
      </w:r>
      <w:r w:rsidR="00BC415D" w:rsidRPr="008A0E59">
        <w:rPr>
          <w:rFonts w:ascii="Arial" w:hAnsi="Arial" w:cs="Arial"/>
          <w:szCs w:val="24"/>
        </w:rPr>
        <w:t xml:space="preserve"> una </w:t>
      </w:r>
      <w:r w:rsidR="00BC415D" w:rsidRPr="008A0E59">
        <w:rPr>
          <w:rFonts w:ascii="Arial" w:hAnsi="Arial" w:cs="Arial"/>
          <w:b/>
          <w:szCs w:val="24"/>
        </w:rPr>
        <w:t>mejor evolución del mercado inmobiliario</w:t>
      </w:r>
      <w:r w:rsidR="008D2EC9" w:rsidRPr="008A0E59">
        <w:rPr>
          <w:rFonts w:ascii="Arial" w:hAnsi="Arial" w:cs="Arial"/>
          <w:szCs w:val="24"/>
        </w:rPr>
        <w:t xml:space="preserve"> y</w:t>
      </w:r>
      <w:r w:rsidR="00BC415D" w:rsidRPr="008A0E59">
        <w:rPr>
          <w:rFonts w:ascii="Arial" w:hAnsi="Arial" w:cs="Arial"/>
          <w:szCs w:val="24"/>
        </w:rPr>
        <w:t xml:space="preserve"> una reactivación de la demanda solvente de crédito.</w:t>
      </w:r>
    </w:p>
    <w:p w:rsidR="00025D72" w:rsidRDefault="00011A29" w:rsidP="00011A29">
      <w:pPr>
        <w:shd w:val="clear" w:color="auto" w:fill="FFFFFF"/>
        <w:tabs>
          <w:tab w:val="left" w:pos="1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C415D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025D72" w:rsidRDefault="00682C1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FFFFFF"/>
          <w:sz w:val="28"/>
          <w:szCs w:val="28"/>
          <w:highlight w:val="darkRed"/>
        </w:rPr>
        <w:t>C</w:t>
      </w:r>
      <w:r w:rsidR="005B1DF6">
        <w:rPr>
          <w:rFonts w:ascii="Arial" w:hAnsi="Arial" w:cs="Arial"/>
          <w:b/>
          <w:color w:val="FFFFFF"/>
          <w:sz w:val="28"/>
          <w:szCs w:val="28"/>
          <w:highlight w:val="darkRed"/>
        </w:rPr>
        <w:t>rece e</w:t>
      </w:r>
      <w:r w:rsidR="00025D72">
        <w:rPr>
          <w:rFonts w:ascii="Arial" w:hAnsi="Arial" w:cs="Arial"/>
          <w:b/>
          <w:color w:val="FFFFFF"/>
          <w:sz w:val="28"/>
          <w:szCs w:val="28"/>
          <w:highlight w:val="darkRed"/>
        </w:rPr>
        <w:t>l Margen de Intereses</w:t>
      </w:r>
      <w:r w:rsidR="005B1DF6">
        <w:rPr>
          <w:rFonts w:ascii="Arial" w:hAnsi="Arial" w:cs="Arial"/>
          <w:b/>
          <w:color w:val="FFFFFF"/>
          <w:sz w:val="28"/>
          <w:szCs w:val="28"/>
          <w:highlight w:val="darkRed"/>
        </w:rPr>
        <w:t>,</w:t>
      </w:r>
      <w:r w:rsidR="0042798C">
        <w:rPr>
          <w:rFonts w:ascii="Arial" w:hAnsi="Arial" w:cs="Arial"/>
          <w:b/>
          <w:color w:val="FFFFFF"/>
          <w:sz w:val="28"/>
          <w:szCs w:val="28"/>
          <w:highlight w:val="darkRed"/>
        </w:rPr>
        <w:t xml:space="preserve"> </w:t>
      </w:r>
      <w:r w:rsidR="005B1DF6">
        <w:rPr>
          <w:rFonts w:ascii="Arial" w:hAnsi="Arial" w:cs="Arial"/>
          <w:b/>
          <w:color w:val="FFFFFF"/>
          <w:sz w:val="28"/>
          <w:szCs w:val="28"/>
          <w:highlight w:val="darkRed"/>
        </w:rPr>
        <w:t>pese a</w:t>
      </w:r>
      <w:r w:rsidR="0042798C">
        <w:rPr>
          <w:rFonts w:ascii="Arial" w:hAnsi="Arial" w:cs="Arial"/>
          <w:b/>
          <w:color w:val="FFFFFF"/>
          <w:sz w:val="28"/>
          <w:szCs w:val="28"/>
          <w:highlight w:val="darkRed"/>
        </w:rPr>
        <w:t xml:space="preserve"> un Euribor en mínimos históricos</w:t>
      </w:r>
      <w:r w:rsidR="00025D72">
        <w:rPr>
          <w:rFonts w:ascii="Arial" w:hAnsi="Arial" w:cs="Arial"/>
          <w:b/>
          <w:color w:val="FFFFFF"/>
          <w:sz w:val="28"/>
          <w:szCs w:val="28"/>
          <w:highlight w:val="darkRed"/>
        </w:rPr>
        <w:t xml:space="preserve"> </w:t>
      </w:r>
    </w:p>
    <w:p w:rsidR="00025D72" w:rsidRDefault="00025D72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076D4A" w:rsidRPr="008A0E59" w:rsidRDefault="0042798C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C415D" w:rsidRPr="00BC415D">
        <w:rPr>
          <w:rFonts w:ascii="Arial" w:hAnsi="Arial" w:cs="Arial"/>
          <w:szCs w:val="24"/>
        </w:rPr>
        <w:t xml:space="preserve">l </w:t>
      </w:r>
      <w:r w:rsidR="00BC415D" w:rsidRPr="002E382B">
        <w:rPr>
          <w:rFonts w:ascii="Arial" w:hAnsi="Arial" w:cs="Arial"/>
          <w:b/>
          <w:szCs w:val="24"/>
        </w:rPr>
        <w:t>Margen de Intereses</w:t>
      </w:r>
      <w:r w:rsidR="00BC415D" w:rsidRPr="00BC415D">
        <w:rPr>
          <w:rFonts w:ascii="Arial" w:hAnsi="Arial" w:cs="Arial"/>
          <w:szCs w:val="24"/>
        </w:rPr>
        <w:t xml:space="preserve"> se </w:t>
      </w:r>
      <w:r w:rsidR="00076D4A">
        <w:rPr>
          <w:rFonts w:ascii="Arial" w:hAnsi="Arial" w:cs="Arial"/>
          <w:szCs w:val="24"/>
        </w:rPr>
        <w:t>ha situado</w:t>
      </w:r>
      <w:r w:rsidR="00BC415D" w:rsidRPr="00BC415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</w:t>
      </w:r>
      <w:r w:rsidRPr="008A0E59">
        <w:rPr>
          <w:rFonts w:ascii="Arial" w:hAnsi="Arial" w:cs="Arial"/>
          <w:szCs w:val="24"/>
        </w:rPr>
        <w:t>3</w:t>
      </w:r>
      <w:r w:rsidR="008D2EC9" w:rsidRPr="008A0E59">
        <w:rPr>
          <w:rFonts w:ascii="Arial" w:hAnsi="Arial" w:cs="Arial"/>
          <w:szCs w:val="24"/>
        </w:rPr>
        <w:t>0</w:t>
      </w:r>
      <w:r w:rsidRPr="008A0E59">
        <w:rPr>
          <w:rFonts w:ascii="Arial" w:hAnsi="Arial" w:cs="Arial"/>
          <w:szCs w:val="24"/>
        </w:rPr>
        <w:t xml:space="preserve"> de septiembre en 467,8</w:t>
      </w:r>
      <w:r w:rsidR="00BC415D" w:rsidRPr="008A0E59">
        <w:rPr>
          <w:rFonts w:ascii="Arial" w:hAnsi="Arial" w:cs="Arial"/>
          <w:szCs w:val="24"/>
        </w:rPr>
        <w:t xml:space="preserve"> mil</w:t>
      </w:r>
      <w:r w:rsidR="00076D4A" w:rsidRPr="008A0E59">
        <w:rPr>
          <w:rFonts w:ascii="Arial" w:hAnsi="Arial" w:cs="Arial"/>
          <w:szCs w:val="24"/>
        </w:rPr>
        <w:t>lones</w:t>
      </w:r>
      <w:r w:rsidR="00BC415D" w:rsidRPr="008A0E59">
        <w:rPr>
          <w:rFonts w:ascii="Arial" w:hAnsi="Arial" w:cs="Arial"/>
          <w:szCs w:val="24"/>
        </w:rPr>
        <w:t xml:space="preserve"> de euros, un </w:t>
      </w:r>
      <w:r w:rsidRPr="008A0E59">
        <w:rPr>
          <w:rFonts w:ascii="Arial" w:hAnsi="Arial" w:cs="Arial"/>
          <w:szCs w:val="24"/>
        </w:rPr>
        <w:t>2,1</w:t>
      </w:r>
      <w:r w:rsidR="00BC415D" w:rsidRPr="008A0E59">
        <w:rPr>
          <w:rFonts w:ascii="Arial" w:hAnsi="Arial" w:cs="Arial"/>
          <w:szCs w:val="24"/>
        </w:rPr>
        <w:t xml:space="preserve">% más que en el mismo período del año anterior. </w:t>
      </w:r>
      <w:r w:rsidRPr="008A0E59">
        <w:rPr>
          <w:rFonts w:ascii="Arial" w:hAnsi="Arial" w:cs="Arial"/>
          <w:szCs w:val="24"/>
        </w:rPr>
        <w:t xml:space="preserve">Esta evolución positiva se ha producido en un entorno macroeconómico de </w:t>
      </w:r>
      <w:r w:rsidRPr="008A0E59">
        <w:rPr>
          <w:rFonts w:ascii="Arial" w:hAnsi="Arial" w:cs="Arial"/>
          <w:b/>
          <w:szCs w:val="24"/>
        </w:rPr>
        <w:t>tipos de interés en mínimos históricos</w:t>
      </w:r>
      <w:r w:rsidRPr="008A0E59">
        <w:rPr>
          <w:rFonts w:ascii="Arial" w:hAnsi="Arial" w:cs="Arial"/>
          <w:szCs w:val="24"/>
        </w:rPr>
        <w:t>, con un Euribor en continuo descenso (el 0,15% al cierre del tercer trimestre, el 0,11% esta misma semana). Bast</w:t>
      </w:r>
      <w:r w:rsidR="0058420F" w:rsidRPr="008A0E59">
        <w:rPr>
          <w:rFonts w:ascii="Arial" w:hAnsi="Arial" w:cs="Arial"/>
          <w:szCs w:val="24"/>
        </w:rPr>
        <w:t>a</w:t>
      </w:r>
      <w:r w:rsidRPr="008A0E59">
        <w:rPr>
          <w:rFonts w:ascii="Arial" w:hAnsi="Arial" w:cs="Arial"/>
          <w:szCs w:val="24"/>
        </w:rPr>
        <w:t xml:space="preserve"> recordar que este indicador se situaba en el mismo periodo de 2014 en el 0,36%</w:t>
      </w:r>
      <w:r w:rsidR="00BC415D" w:rsidRPr="008A0E59">
        <w:rPr>
          <w:rFonts w:ascii="Arial" w:hAnsi="Arial" w:cs="Arial"/>
          <w:szCs w:val="24"/>
        </w:rPr>
        <w:t xml:space="preserve">. </w:t>
      </w:r>
    </w:p>
    <w:p w:rsidR="00F43737" w:rsidRPr="008A0E59" w:rsidRDefault="00F43737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C415D" w:rsidRDefault="008D2EC9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8A0E59">
        <w:rPr>
          <w:rFonts w:ascii="Arial" w:hAnsi="Arial" w:cs="Arial"/>
          <w:szCs w:val="24"/>
        </w:rPr>
        <w:t>Para ello</w:t>
      </w:r>
      <w:r w:rsidR="00BC415D" w:rsidRPr="008A0E59">
        <w:rPr>
          <w:rFonts w:ascii="Arial" w:hAnsi="Arial" w:cs="Arial"/>
          <w:szCs w:val="24"/>
        </w:rPr>
        <w:t xml:space="preserve"> </w:t>
      </w:r>
      <w:r w:rsidR="00986671" w:rsidRPr="008A0E59">
        <w:rPr>
          <w:rFonts w:ascii="Arial" w:hAnsi="Arial" w:cs="Arial"/>
          <w:szCs w:val="24"/>
        </w:rPr>
        <w:t>ha sido determinante la</w:t>
      </w:r>
      <w:r w:rsidR="00BC415D" w:rsidRPr="008A0E59">
        <w:rPr>
          <w:rFonts w:ascii="Arial" w:hAnsi="Arial" w:cs="Arial"/>
          <w:szCs w:val="24"/>
        </w:rPr>
        <w:t xml:space="preserve"> </w:t>
      </w:r>
      <w:r w:rsidR="00BC415D" w:rsidRPr="008A0E59">
        <w:rPr>
          <w:rFonts w:ascii="Arial" w:hAnsi="Arial" w:cs="Arial"/>
          <w:b/>
          <w:szCs w:val="24"/>
        </w:rPr>
        <w:t>activa gestión de los precios de pasivo</w:t>
      </w:r>
      <w:r w:rsidR="00986671" w:rsidRPr="008A0E59">
        <w:rPr>
          <w:rFonts w:ascii="Arial" w:hAnsi="Arial" w:cs="Arial"/>
          <w:szCs w:val="24"/>
        </w:rPr>
        <w:t xml:space="preserve">. Así, </w:t>
      </w:r>
      <w:r w:rsidR="00BC415D" w:rsidRPr="008A0E59">
        <w:rPr>
          <w:rFonts w:ascii="Arial" w:hAnsi="Arial" w:cs="Arial"/>
          <w:szCs w:val="24"/>
        </w:rPr>
        <w:t xml:space="preserve">el coste de la nueva producción de depósitos en las áreas de negocio </w:t>
      </w:r>
      <w:r w:rsidR="00986671" w:rsidRPr="008A0E59">
        <w:rPr>
          <w:rFonts w:ascii="Arial" w:hAnsi="Arial" w:cs="Arial"/>
          <w:szCs w:val="24"/>
        </w:rPr>
        <w:t xml:space="preserve">ha </w:t>
      </w:r>
      <w:r w:rsidR="00BC415D" w:rsidRPr="008A0E59">
        <w:rPr>
          <w:rFonts w:ascii="Arial" w:hAnsi="Arial" w:cs="Arial"/>
          <w:szCs w:val="24"/>
        </w:rPr>
        <w:t>mejora</w:t>
      </w:r>
      <w:r w:rsidR="002E382B" w:rsidRPr="008A0E59">
        <w:rPr>
          <w:rFonts w:ascii="Arial" w:hAnsi="Arial" w:cs="Arial"/>
          <w:szCs w:val="24"/>
        </w:rPr>
        <w:t>do</w:t>
      </w:r>
      <w:r w:rsidR="00BC415D" w:rsidRPr="008A0E59">
        <w:rPr>
          <w:rFonts w:ascii="Arial" w:hAnsi="Arial" w:cs="Arial"/>
          <w:szCs w:val="24"/>
        </w:rPr>
        <w:t xml:space="preserve"> de forma continuada</w:t>
      </w:r>
      <w:r w:rsidR="00682C16" w:rsidRPr="008A0E59">
        <w:rPr>
          <w:rFonts w:ascii="Arial" w:hAnsi="Arial" w:cs="Arial"/>
          <w:szCs w:val="24"/>
        </w:rPr>
        <w:t>. E</w:t>
      </w:r>
      <w:r w:rsidR="00BC415D" w:rsidRPr="008A0E59">
        <w:rPr>
          <w:rFonts w:ascii="Arial" w:hAnsi="Arial" w:cs="Arial"/>
          <w:szCs w:val="24"/>
        </w:rPr>
        <w:t xml:space="preserve">sta bajada progresiva </w:t>
      </w:r>
      <w:r w:rsidR="00986671" w:rsidRPr="008A0E59">
        <w:rPr>
          <w:rFonts w:ascii="Arial" w:hAnsi="Arial" w:cs="Arial"/>
          <w:szCs w:val="24"/>
        </w:rPr>
        <w:t>ha permitido</w:t>
      </w:r>
      <w:r w:rsidR="00BC415D" w:rsidRPr="008A0E59">
        <w:rPr>
          <w:rFonts w:ascii="Arial" w:hAnsi="Arial" w:cs="Arial"/>
          <w:szCs w:val="24"/>
        </w:rPr>
        <w:t xml:space="preserve"> un descenso cada vez más significativo de los </w:t>
      </w:r>
      <w:r w:rsidR="0002538D" w:rsidRPr="008A0E59">
        <w:rPr>
          <w:rFonts w:ascii="Arial" w:hAnsi="Arial" w:cs="Arial"/>
          <w:szCs w:val="24"/>
        </w:rPr>
        <w:t>gastos financieros, que compensan la caída de los ingresos.</w:t>
      </w:r>
    </w:p>
    <w:p w:rsidR="007522B5" w:rsidRDefault="007522B5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5F5767" w:rsidRPr="005521B4" w:rsidRDefault="005F5767" w:rsidP="00BC415D">
      <w:pPr>
        <w:shd w:val="clear" w:color="auto" w:fill="FFFFFF"/>
        <w:spacing w:line="276" w:lineRule="auto"/>
        <w:jc w:val="both"/>
        <w:rPr>
          <w:rFonts w:ascii="Arial" w:hAnsi="Arial" w:cs="Arial"/>
          <w:strike/>
          <w:szCs w:val="24"/>
        </w:rPr>
      </w:pPr>
    </w:p>
    <w:p w:rsidR="00F43737" w:rsidRPr="005521B4" w:rsidRDefault="00A557F6" w:rsidP="002845F3">
      <w:pPr>
        <w:shd w:val="clear" w:color="auto" w:fill="FFFFFF"/>
        <w:spacing w:line="276" w:lineRule="auto"/>
        <w:jc w:val="both"/>
        <w:rPr>
          <w:rFonts w:ascii="Arial" w:hAnsi="Arial" w:cs="Arial"/>
          <w:strike/>
          <w:szCs w:val="24"/>
        </w:rPr>
      </w:pPr>
      <w:r>
        <w:rPr>
          <w:rFonts w:ascii="Arial" w:hAnsi="Arial" w:cs="Arial"/>
          <w:strike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18415</wp:posOffset>
                </wp:positionV>
                <wp:extent cx="6122670" cy="508000"/>
                <wp:effectExtent l="18415" t="18415" r="18415" b="698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DE" w:rsidRPr="00351EA0" w:rsidRDefault="00351EA0" w:rsidP="00F4373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8A0E59">
                              <w:rPr>
                                <w:b/>
                                <w:color w:val="C00000"/>
                              </w:rPr>
                              <w:t>El Margen de Intereses se ha situado a 30 de septiembre en 467,8 millones de euros, un 2,1% más que en el mismo periodo del año anterior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.45pt;margin-top:1.45pt;width:482.1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" strokecolor="#c00000" strokeweight="1.5pt">
                <v:textbox>
                  <w:txbxContent>
                    <w:p w:rsidR="00B90BDE" w:rsidRPr="00351EA0" w:rsidRDefault="00351EA0" w:rsidP="00F43737">
                      <w:pPr>
                        <w:rPr>
                          <w:b/>
                          <w:color w:val="C00000"/>
                        </w:rPr>
                      </w:pPr>
                      <w:r w:rsidRPr="008A0E59">
                        <w:rPr>
                          <w:b/>
                          <w:color w:val="C00000"/>
                        </w:rPr>
                        <w:t>El Margen de Intereses se ha situado a 30 de septiembre en 467,8 millones de euros, un 2,1% más que en el mismo periodo del año anterior</w:t>
                      </w:r>
                    </w:p>
                  </w:txbxContent>
                </v:textbox>
              </v:shape>
            </w:pict>
          </mc:Fallback>
        </mc:AlternateContent>
      </w:r>
    </w:p>
    <w:p w:rsidR="00F43737" w:rsidRPr="005521B4" w:rsidRDefault="00F43737" w:rsidP="002845F3">
      <w:pPr>
        <w:shd w:val="clear" w:color="auto" w:fill="FFFFFF"/>
        <w:spacing w:line="276" w:lineRule="auto"/>
        <w:jc w:val="both"/>
        <w:rPr>
          <w:rFonts w:ascii="Arial" w:hAnsi="Arial" w:cs="Arial"/>
          <w:strike/>
          <w:szCs w:val="24"/>
        </w:rPr>
      </w:pPr>
    </w:p>
    <w:p w:rsidR="00F43737" w:rsidRPr="005521B4" w:rsidRDefault="00F43737" w:rsidP="002845F3">
      <w:pPr>
        <w:shd w:val="clear" w:color="auto" w:fill="FFFFFF"/>
        <w:spacing w:line="276" w:lineRule="auto"/>
        <w:jc w:val="both"/>
        <w:rPr>
          <w:rFonts w:ascii="Arial" w:hAnsi="Arial" w:cs="Arial"/>
          <w:strike/>
          <w:szCs w:val="24"/>
        </w:rPr>
      </w:pPr>
    </w:p>
    <w:p w:rsidR="00F43737" w:rsidRDefault="00F43737" w:rsidP="002845F3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77752C" w:rsidRPr="008A0E59" w:rsidRDefault="007522B5" w:rsidP="00C13D0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capítulo de </w:t>
      </w:r>
      <w:r w:rsidR="00875A07">
        <w:rPr>
          <w:rFonts w:ascii="Arial" w:hAnsi="Arial" w:cs="Arial"/>
          <w:b/>
          <w:szCs w:val="24"/>
        </w:rPr>
        <w:t>c</w:t>
      </w:r>
      <w:r w:rsidRPr="007522B5">
        <w:rPr>
          <w:rFonts w:ascii="Arial" w:hAnsi="Arial" w:cs="Arial"/>
          <w:b/>
          <w:szCs w:val="24"/>
        </w:rPr>
        <w:t>omisiones</w:t>
      </w:r>
      <w:r>
        <w:rPr>
          <w:rFonts w:ascii="Arial" w:hAnsi="Arial" w:cs="Arial"/>
          <w:szCs w:val="24"/>
        </w:rPr>
        <w:t xml:space="preserve"> </w:t>
      </w:r>
      <w:r w:rsidR="002845F3">
        <w:rPr>
          <w:rFonts w:ascii="Arial" w:hAnsi="Arial" w:cs="Arial"/>
          <w:szCs w:val="24"/>
        </w:rPr>
        <w:t xml:space="preserve">ha alcanzado los </w:t>
      </w:r>
      <w:r w:rsidR="00BE5E10" w:rsidRPr="00BE5E10">
        <w:rPr>
          <w:rFonts w:ascii="Arial" w:hAnsi="Arial" w:cs="Arial"/>
          <w:b/>
          <w:szCs w:val="24"/>
        </w:rPr>
        <w:t>269,6</w:t>
      </w:r>
      <w:r w:rsidR="002845F3" w:rsidRPr="007522B5">
        <w:rPr>
          <w:rFonts w:ascii="Arial" w:hAnsi="Arial" w:cs="Arial"/>
          <w:b/>
          <w:szCs w:val="24"/>
        </w:rPr>
        <w:t xml:space="preserve"> millones de euros, un </w:t>
      </w:r>
      <w:r w:rsidR="00BE5E10">
        <w:rPr>
          <w:rFonts w:ascii="Arial" w:hAnsi="Arial" w:cs="Arial"/>
          <w:b/>
          <w:szCs w:val="24"/>
        </w:rPr>
        <w:t>5,0</w:t>
      </w:r>
      <w:r w:rsidR="002845F3" w:rsidRPr="007522B5">
        <w:rPr>
          <w:rFonts w:ascii="Arial" w:hAnsi="Arial" w:cs="Arial"/>
          <w:b/>
          <w:szCs w:val="24"/>
        </w:rPr>
        <w:t>% más</w:t>
      </w:r>
      <w:r w:rsidR="002845F3" w:rsidRPr="00BC415D">
        <w:rPr>
          <w:rFonts w:ascii="Arial" w:hAnsi="Arial" w:cs="Arial"/>
          <w:szCs w:val="24"/>
        </w:rPr>
        <w:t xml:space="preserve"> que en el mismo período del año anterior. Al igual que en </w:t>
      </w:r>
      <w:r>
        <w:rPr>
          <w:rFonts w:ascii="Arial" w:hAnsi="Arial" w:cs="Arial"/>
          <w:szCs w:val="24"/>
        </w:rPr>
        <w:t>trimestres previos</w:t>
      </w:r>
      <w:r w:rsidR="002845F3" w:rsidRPr="00BC415D">
        <w:rPr>
          <w:rFonts w:ascii="Arial" w:hAnsi="Arial" w:cs="Arial"/>
          <w:szCs w:val="24"/>
        </w:rPr>
        <w:t xml:space="preserve">, </w:t>
      </w:r>
      <w:r w:rsidR="002845F3">
        <w:rPr>
          <w:rFonts w:ascii="Arial" w:hAnsi="Arial" w:cs="Arial"/>
          <w:szCs w:val="24"/>
        </w:rPr>
        <w:t>y al margen</w:t>
      </w:r>
      <w:r w:rsidR="002845F3" w:rsidRPr="00BC415D">
        <w:rPr>
          <w:rFonts w:ascii="Arial" w:hAnsi="Arial" w:cs="Arial"/>
          <w:szCs w:val="24"/>
        </w:rPr>
        <w:t xml:space="preserve"> de los satisfactorios resultados obtenidos por la comercialización de nuevos productos no financieros, el impulso principal de este aumento </w:t>
      </w:r>
      <w:r w:rsidR="002845F3">
        <w:rPr>
          <w:rFonts w:ascii="Arial" w:hAnsi="Arial" w:cs="Arial"/>
          <w:szCs w:val="24"/>
        </w:rPr>
        <w:t>ha sido</w:t>
      </w:r>
      <w:r w:rsidR="002845F3" w:rsidRPr="00BC415D">
        <w:rPr>
          <w:rFonts w:ascii="Arial" w:hAnsi="Arial" w:cs="Arial"/>
          <w:szCs w:val="24"/>
        </w:rPr>
        <w:t xml:space="preserve"> la </w:t>
      </w:r>
      <w:r w:rsidR="002845F3" w:rsidRPr="007522B5">
        <w:rPr>
          <w:rFonts w:ascii="Arial" w:hAnsi="Arial" w:cs="Arial"/>
          <w:szCs w:val="24"/>
        </w:rPr>
        <w:t xml:space="preserve">evolución positiva de los volúmenes gestionados </w:t>
      </w:r>
      <w:r w:rsidR="002845F3" w:rsidRPr="008A0E59">
        <w:rPr>
          <w:rFonts w:ascii="Arial" w:hAnsi="Arial" w:cs="Arial"/>
          <w:szCs w:val="24"/>
        </w:rPr>
        <w:t>de</w:t>
      </w:r>
      <w:r w:rsidR="002845F3" w:rsidRPr="008A0E59">
        <w:rPr>
          <w:rFonts w:ascii="Arial" w:hAnsi="Arial" w:cs="Arial"/>
          <w:b/>
          <w:szCs w:val="24"/>
        </w:rPr>
        <w:t xml:space="preserve"> fondos de inversión y pensiones</w:t>
      </w:r>
      <w:r w:rsidR="002845F3" w:rsidRPr="008A0E59">
        <w:rPr>
          <w:rFonts w:ascii="Arial" w:hAnsi="Arial" w:cs="Arial"/>
          <w:szCs w:val="24"/>
        </w:rPr>
        <w:t>, favorecida por el trasvase de saldos de pasivo hacia productos de fuera de balance en búsqueda de mayores rentabilidades.</w:t>
      </w:r>
      <w:r w:rsidRPr="008A0E59">
        <w:rPr>
          <w:rFonts w:ascii="Arial" w:hAnsi="Arial" w:cs="Arial"/>
          <w:szCs w:val="24"/>
        </w:rPr>
        <w:t xml:space="preserve"> </w:t>
      </w:r>
    </w:p>
    <w:p w:rsidR="00EF79CA" w:rsidRPr="00EF79CA" w:rsidRDefault="00EF79CA" w:rsidP="00EF79C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Calibri" w:hAnsi="Times New Roman"/>
          <w:szCs w:val="24"/>
          <w:lang w:val="es-ES" w:eastAsia="es-ES"/>
        </w:rPr>
      </w:pPr>
      <w:r w:rsidRPr="00EF79CA">
        <w:rPr>
          <w:rFonts w:ascii="Arial" w:eastAsia="Calibri" w:hAnsi="Arial" w:cs="Arial"/>
          <w:szCs w:val="24"/>
          <w:lang w:val="es-ES" w:eastAsia="es-ES"/>
        </w:rPr>
        <w:t>El compromiso de Kutxabank con las cuentas vinculación, y la</w:t>
      </w:r>
      <w:r w:rsidR="00016497">
        <w:rPr>
          <w:rFonts w:ascii="Arial" w:eastAsia="Calibri" w:hAnsi="Arial" w:cs="Arial"/>
          <w:szCs w:val="24"/>
          <w:lang w:val="es-ES" w:eastAsia="es-ES"/>
        </w:rPr>
        <w:t xml:space="preserve"> reducción de las</w:t>
      </w:r>
      <w:r w:rsidRPr="00EF79CA">
        <w:rPr>
          <w:rFonts w:ascii="Arial" w:eastAsia="Calibri" w:hAnsi="Arial" w:cs="Arial"/>
          <w:szCs w:val="24"/>
          <w:lang w:val="es-ES" w:eastAsia="es-ES"/>
        </w:rPr>
        <w:t xml:space="preserve"> comisiones por tasas de intercambio, permiten trasladar a los clientes re</w:t>
      </w:r>
      <w:r w:rsidR="00016497">
        <w:rPr>
          <w:rFonts w:ascii="Arial" w:eastAsia="Calibri" w:hAnsi="Arial" w:cs="Arial"/>
          <w:szCs w:val="24"/>
          <w:lang w:val="es-ES" w:eastAsia="es-ES"/>
        </w:rPr>
        <w:t>bajas</w:t>
      </w:r>
      <w:r w:rsidRPr="00EF79CA">
        <w:rPr>
          <w:rFonts w:ascii="Arial" w:eastAsia="Calibri" w:hAnsi="Arial" w:cs="Arial"/>
          <w:szCs w:val="24"/>
          <w:lang w:val="es-ES" w:eastAsia="es-ES"/>
        </w:rPr>
        <w:t xml:space="preserve"> significativas en el pago de comisiones. Así, Las </w:t>
      </w:r>
      <w:r w:rsidRPr="00EF79CA">
        <w:rPr>
          <w:rFonts w:ascii="Arial" w:eastAsia="Calibri" w:hAnsi="Arial" w:cs="Arial"/>
          <w:b/>
          <w:bCs/>
          <w:szCs w:val="24"/>
          <w:lang w:val="es-ES" w:eastAsia="es-ES"/>
        </w:rPr>
        <w:t>comisiones por servicios</w:t>
      </w:r>
      <w:r w:rsidRPr="00EF79CA">
        <w:rPr>
          <w:rFonts w:ascii="Arial" w:eastAsia="Calibri" w:hAnsi="Arial" w:cs="Arial"/>
          <w:szCs w:val="24"/>
          <w:lang w:val="es-ES" w:eastAsia="es-ES"/>
        </w:rPr>
        <w:t xml:space="preserve"> que afectan al cliente, vinculadas con medios de pago y otros servicios financieros </w:t>
      </w:r>
      <w:r w:rsidRPr="00EF79CA">
        <w:rPr>
          <w:rFonts w:ascii="Arial" w:eastAsia="Calibri" w:hAnsi="Arial" w:cs="Arial"/>
          <w:b/>
          <w:bCs/>
          <w:szCs w:val="24"/>
          <w:lang w:val="es-ES" w:eastAsia="es-ES"/>
        </w:rPr>
        <w:t>han disminuido un 11,7%</w:t>
      </w:r>
      <w:r w:rsidRPr="00EF79CA">
        <w:rPr>
          <w:rFonts w:ascii="Arial" w:eastAsia="Calibri" w:hAnsi="Arial" w:cs="Arial"/>
          <w:szCs w:val="24"/>
          <w:lang w:val="es-ES" w:eastAsia="es-ES"/>
        </w:rPr>
        <w:t xml:space="preserve"> hasta el tercer trimestre. Con todo ello, el </w:t>
      </w:r>
      <w:r w:rsidRPr="00EF79CA">
        <w:rPr>
          <w:rFonts w:ascii="Arial" w:eastAsia="Calibri" w:hAnsi="Arial" w:cs="Arial"/>
          <w:b/>
          <w:bCs/>
          <w:szCs w:val="24"/>
          <w:lang w:val="es-ES" w:eastAsia="es-ES"/>
        </w:rPr>
        <w:t>Margen de Clientes</w:t>
      </w:r>
      <w:r w:rsidRPr="00EF79CA">
        <w:rPr>
          <w:rFonts w:ascii="Arial" w:eastAsia="Calibri" w:hAnsi="Arial" w:cs="Arial"/>
          <w:szCs w:val="24"/>
          <w:lang w:val="es-ES" w:eastAsia="es-ES"/>
        </w:rPr>
        <w:t xml:space="preserve"> ha crecido un 3,2%.</w:t>
      </w:r>
    </w:p>
    <w:p w:rsidR="00A9147D" w:rsidRDefault="001D67E3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Los</w:t>
      </w:r>
      <w:r w:rsidR="00BC415D" w:rsidRPr="00BC415D">
        <w:rPr>
          <w:rFonts w:ascii="Arial" w:hAnsi="Arial" w:cs="Arial"/>
          <w:szCs w:val="24"/>
        </w:rPr>
        <w:t xml:space="preserve"> re</w:t>
      </w:r>
      <w:r w:rsidR="00A9147D">
        <w:rPr>
          <w:rFonts w:ascii="Arial" w:hAnsi="Arial" w:cs="Arial"/>
          <w:szCs w:val="24"/>
        </w:rPr>
        <w:t>ndimientos</w:t>
      </w:r>
      <w:r w:rsidR="00BC415D" w:rsidRPr="00BC415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positivos </w:t>
      </w:r>
      <w:r w:rsidR="00BC415D" w:rsidRPr="00BC415D">
        <w:rPr>
          <w:rFonts w:ascii="Arial" w:hAnsi="Arial" w:cs="Arial"/>
          <w:szCs w:val="24"/>
        </w:rPr>
        <w:t xml:space="preserve">de la </w:t>
      </w:r>
      <w:r w:rsidR="00BC415D" w:rsidRPr="002E382B">
        <w:rPr>
          <w:rFonts w:ascii="Arial" w:hAnsi="Arial" w:cs="Arial"/>
          <w:b/>
          <w:szCs w:val="24"/>
        </w:rPr>
        <w:t>cartera de participadas</w:t>
      </w:r>
      <w:r w:rsidR="00BC415D" w:rsidRPr="00BC415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han mantenido</w:t>
      </w:r>
      <w:r w:rsidR="00BC415D" w:rsidRPr="00BC415D">
        <w:rPr>
          <w:rFonts w:ascii="Arial" w:hAnsi="Arial" w:cs="Arial"/>
          <w:szCs w:val="24"/>
        </w:rPr>
        <w:t xml:space="preserve"> su tradicional fortaleza. El registro de resultados recurrentes derivados del cobro de dividendos y los </w:t>
      </w:r>
      <w:r w:rsidR="00A9147D">
        <w:rPr>
          <w:rFonts w:ascii="Arial" w:hAnsi="Arial" w:cs="Arial"/>
          <w:szCs w:val="24"/>
        </w:rPr>
        <w:t>de</w:t>
      </w:r>
      <w:r w:rsidR="00BC415D" w:rsidRPr="00BC415D">
        <w:rPr>
          <w:rFonts w:ascii="Arial" w:hAnsi="Arial" w:cs="Arial"/>
          <w:szCs w:val="24"/>
        </w:rPr>
        <w:t xml:space="preserve"> puesta en equivalencia </w:t>
      </w:r>
      <w:r w:rsidR="00875A07">
        <w:rPr>
          <w:rFonts w:ascii="Arial" w:hAnsi="Arial" w:cs="Arial"/>
          <w:szCs w:val="24"/>
        </w:rPr>
        <w:t>ha</w:t>
      </w:r>
      <w:r w:rsidR="00A9147D">
        <w:rPr>
          <w:rFonts w:ascii="Arial" w:hAnsi="Arial" w:cs="Arial"/>
          <w:szCs w:val="24"/>
        </w:rPr>
        <w:t xml:space="preserve"> registrado</w:t>
      </w:r>
      <w:r w:rsidR="00BC415D" w:rsidRPr="00BC415D">
        <w:rPr>
          <w:rFonts w:ascii="Arial" w:hAnsi="Arial" w:cs="Arial"/>
          <w:szCs w:val="24"/>
        </w:rPr>
        <w:t xml:space="preserve"> niveles elevados, superiores a los </w:t>
      </w:r>
      <w:r w:rsidR="00875A07">
        <w:rPr>
          <w:rFonts w:ascii="Arial" w:hAnsi="Arial" w:cs="Arial"/>
          <w:szCs w:val="24"/>
        </w:rPr>
        <w:t>5</w:t>
      </w:r>
      <w:r w:rsidR="00BC415D" w:rsidRPr="00BC415D">
        <w:rPr>
          <w:rFonts w:ascii="Arial" w:hAnsi="Arial" w:cs="Arial"/>
          <w:szCs w:val="24"/>
        </w:rPr>
        <w:t>0 millones euros, además de un alto grado de estabilidad</w:t>
      </w:r>
      <w:r w:rsidR="00A9147D">
        <w:rPr>
          <w:rFonts w:ascii="Arial" w:hAnsi="Arial" w:cs="Arial"/>
          <w:szCs w:val="24"/>
        </w:rPr>
        <w:t>. No obstante</w:t>
      </w:r>
      <w:r w:rsidR="00BC415D" w:rsidRPr="00BC415D">
        <w:rPr>
          <w:rFonts w:ascii="Arial" w:hAnsi="Arial" w:cs="Arial"/>
          <w:szCs w:val="24"/>
        </w:rPr>
        <w:t xml:space="preserve">, </w:t>
      </w:r>
      <w:r w:rsidR="00A9147D">
        <w:rPr>
          <w:rFonts w:ascii="Arial" w:hAnsi="Arial" w:cs="Arial"/>
          <w:szCs w:val="24"/>
        </w:rPr>
        <w:t>han disminuido</w:t>
      </w:r>
      <w:r w:rsidR="00BC415D" w:rsidRPr="00BC415D">
        <w:rPr>
          <w:rFonts w:ascii="Arial" w:hAnsi="Arial" w:cs="Arial"/>
          <w:szCs w:val="24"/>
        </w:rPr>
        <w:t xml:space="preserve"> un 2</w:t>
      </w:r>
      <w:r w:rsidR="00875A07">
        <w:rPr>
          <w:rFonts w:ascii="Arial" w:hAnsi="Arial" w:cs="Arial"/>
          <w:szCs w:val="24"/>
        </w:rPr>
        <w:t>1,3</w:t>
      </w:r>
      <w:r w:rsidR="00BC415D" w:rsidRPr="00BC415D">
        <w:rPr>
          <w:rFonts w:ascii="Arial" w:hAnsi="Arial" w:cs="Arial"/>
          <w:szCs w:val="24"/>
        </w:rPr>
        <w:t xml:space="preserve">% </w:t>
      </w:r>
      <w:r w:rsidR="00875A07">
        <w:rPr>
          <w:rFonts w:ascii="Arial" w:hAnsi="Arial" w:cs="Arial"/>
          <w:szCs w:val="24"/>
        </w:rPr>
        <w:t xml:space="preserve">con </w:t>
      </w:r>
      <w:r w:rsidR="00BC415D" w:rsidRPr="00BC415D">
        <w:rPr>
          <w:rFonts w:ascii="Arial" w:hAnsi="Arial" w:cs="Arial"/>
          <w:szCs w:val="24"/>
        </w:rPr>
        <w:t xml:space="preserve">respecto a </w:t>
      </w:r>
      <w:r w:rsidR="00875A07">
        <w:rPr>
          <w:rFonts w:ascii="Arial" w:hAnsi="Arial" w:cs="Arial"/>
          <w:szCs w:val="24"/>
        </w:rPr>
        <w:t>septiembre</w:t>
      </w:r>
      <w:r w:rsidR="00BC415D" w:rsidRPr="00BC415D">
        <w:rPr>
          <w:rFonts w:ascii="Arial" w:hAnsi="Arial" w:cs="Arial"/>
          <w:szCs w:val="24"/>
        </w:rPr>
        <w:t xml:space="preserve"> de 2014 como consecuencia de la estrategia de rotación en las inversiones industriales que</w:t>
      </w:r>
      <w:r w:rsidR="00A9147D">
        <w:rPr>
          <w:rFonts w:ascii="Arial" w:hAnsi="Arial" w:cs="Arial"/>
          <w:szCs w:val="24"/>
        </w:rPr>
        <w:t>,</w:t>
      </w:r>
      <w:r w:rsidR="00BC415D" w:rsidRPr="00BC415D">
        <w:rPr>
          <w:rFonts w:ascii="Arial" w:hAnsi="Arial" w:cs="Arial"/>
          <w:szCs w:val="24"/>
        </w:rPr>
        <w:t xml:space="preserve"> </w:t>
      </w:r>
      <w:r w:rsidR="00A9147D">
        <w:rPr>
          <w:rFonts w:ascii="Arial" w:hAnsi="Arial" w:cs="Arial"/>
          <w:szCs w:val="24"/>
        </w:rPr>
        <w:t>de forma anual,</w:t>
      </w:r>
      <w:r w:rsidR="00BC415D" w:rsidRPr="00BC415D">
        <w:rPr>
          <w:rFonts w:ascii="Arial" w:hAnsi="Arial" w:cs="Arial"/>
          <w:szCs w:val="24"/>
        </w:rPr>
        <w:t xml:space="preserve"> lleva a cabo la entidad. </w:t>
      </w:r>
    </w:p>
    <w:p w:rsidR="00A9147D" w:rsidRDefault="00A9147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C415D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BC415D">
        <w:rPr>
          <w:rFonts w:ascii="Arial" w:hAnsi="Arial" w:cs="Arial"/>
          <w:szCs w:val="24"/>
        </w:rPr>
        <w:t xml:space="preserve">Esta estrategia </w:t>
      </w:r>
      <w:r w:rsidR="00A9147D">
        <w:rPr>
          <w:rFonts w:ascii="Arial" w:hAnsi="Arial" w:cs="Arial"/>
          <w:szCs w:val="24"/>
        </w:rPr>
        <w:t xml:space="preserve">ha </w:t>
      </w:r>
      <w:r w:rsidR="00A9147D" w:rsidRPr="008A0E59">
        <w:rPr>
          <w:rFonts w:ascii="Arial" w:hAnsi="Arial" w:cs="Arial"/>
          <w:szCs w:val="24"/>
        </w:rPr>
        <w:t>contribuido</w:t>
      </w:r>
      <w:r w:rsidRPr="008A0E59">
        <w:rPr>
          <w:rFonts w:ascii="Arial" w:hAnsi="Arial" w:cs="Arial"/>
          <w:szCs w:val="24"/>
        </w:rPr>
        <w:t xml:space="preserve">, a su vez, a que los </w:t>
      </w:r>
      <w:r w:rsidRPr="008A0E59">
        <w:rPr>
          <w:rFonts w:ascii="Arial" w:hAnsi="Arial" w:cs="Arial"/>
          <w:b/>
          <w:szCs w:val="24"/>
        </w:rPr>
        <w:t>resultados por operaciones financieras</w:t>
      </w:r>
      <w:r w:rsidRPr="008A0E59">
        <w:rPr>
          <w:rFonts w:ascii="Arial" w:hAnsi="Arial" w:cs="Arial"/>
          <w:szCs w:val="24"/>
        </w:rPr>
        <w:t xml:space="preserve"> y por ventas </w:t>
      </w:r>
      <w:r w:rsidR="00B47CE0" w:rsidRPr="008A0E59">
        <w:rPr>
          <w:rFonts w:ascii="Arial" w:hAnsi="Arial" w:cs="Arial"/>
          <w:szCs w:val="24"/>
        </w:rPr>
        <w:t>hasta el</w:t>
      </w:r>
      <w:r w:rsidRPr="008A0E59">
        <w:rPr>
          <w:rFonts w:ascii="Arial" w:hAnsi="Arial" w:cs="Arial"/>
          <w:szCs w:val="24"/>
        </w:rPr>
        <w:t xml:space="preserve"> </w:t>
      </w:r>
      <w:r w:rsidR="00875A07" w:rsidRPr="008A0E59">
        <w:rPr>
          <w:rFonts w:ascii="Arial" w:hAnsi="Arial" w:cs="Arial"/>
          <w:szCs w:val="24"/>
        </w:rPr>
        <w:t>tercer</w:t>
      </w:r>
      <w:r w:rsidR="00875A07">
        <w:rPr>
          <w:rFonts w:ascii="Arial" w:hAnsi="Arial" w:cs="Arial"/>
          <w:szCs w:val="24"/>
        </w:rPr>
        <w:t xml:space="preserve"> trimestre</w:t>
      </w:r>
      <w:r w:rsidRPr="00BC415D">
        <w:rPr>
          <w:rFonts w:ascii="Arial" w:hAnsi="Arial" w:cs="Arial"/>
          <w:szCs w:val="24"/>
        </w:rPr>
        <w:t xml:space="preserve"> </w:t>
      </w:r>
      <w:r w:rsidR="00A9147D">
        <w:rPr>
          <w:rFonts w:ascii="Arial" w:hAnsi="Arial" w:cs="Arial"/>
          <w:szCs w:val="24"/>
        </w:rPr>
        <w:t>hayan superado</w:t>
      </w:r>
      <w:r w:rsidRPr="00BC415D">
        <w:rPr>
          <w:rFonts w:ascii="Arial" w:hAnsi="Arial" w:cs="Arial"/>
          <w:szCs w:val="24"/>
        </w:rPr>
        <w:t xml:space="preserve"> los </w:t>
      </w:r>
      <w:r w:rsidR="00875A07">
        <w:rPr>
          <w:rFonts w:ascii="Arial" w:hAnsi="Arial" w:cs="Arial"/>
          <w:szCs w:val="24"/>
        </w:rPr>
        <w:t xml:space="preserve">234,7 </w:t>
      </w:r>
      <w:r w:rsidRPr="00BC415D">
        <w:rPr>
          <w:rFonts w:ascii="Arial" w:hAnsi="Arial" w:cs="Arial"/>
          <w:szCs w:val="24"/>
        </w:rPr>
        <w:t>millones euros</w:t>
      </w:r>
      <w:r w:rsidR="00875A07">
        <w:rPr>
          <w:rFonts w:ascii="Arial" w:hAnsi="Arial" w:cs="Arial"/>
          <w:szCs w:val="24"/>
        </w:rPr>
        <w:t>.</w:t>
      </w:r>
      <w:r w:rsidRPr="00BC415D">
        <w:rPr>
          <w:rFonts w:ascii="Arial" w:hAnsi="Arial" w:cs="Arial"/>
          <w:szCs w:val="24"/>
        </w:rPr>
        <w:t xml:space="preserve"> En </w:t>
      </w:r>
      <w:r w:rsidR="00A9147D">
        <w:rPr>
          <w:rFonts w:ascii="Arial" w:hAnsi="Arial" w:cs="Arial"/>
          <w:szCs w:val="24"/>
        </w:rPr>
        <w:t xml:space="preserve">los </w:t>
      </w:r>
      <w:r w:rsidR="00875A07">
        <w:rPr>
          <w:rFonts w:ascii="Arial" w:hAnsi="Arial" w:cs="Arial"/>
          <w:szCs w:val="24"/>
        </w:rPr>
        <w:t>nueve</w:t>
      </w:r>
      <w:r w:rsidR="00A9147D">
        <w:rPr>
          <w:rFonts w:ascii="Arial" w:hAnsi="Arial" w:cs="Arial"/>
          <w:szCs w:val="24"/>
        </w:rPr>
        <w:t xml:space="preserve"> primeros meses de 2015 han destacado</w:t>
      </w:r>
      <w:r w:rsidRPr="00BC415D">
        <w:rPr>
          <w:rFonts w:ascii="Arial" w:hAnsi="Arial" w:cs="Arial"/>
          <w:szCs w:val="24"/>
        </w:rPr>
        <w:t xml:space="preserve">, en este sentido, las </w:t>
      </w:r>
      <w:r w:rsidRPr="002E382B">
        <w:rPr>
          <w:rFonts w:ascii="Arial" w:hAnsi="Arial" w:cs="Arial"/>
          <w:b/>
          <w:szCs w:val="24"/>
        </w:rPr>
        <w:t>plusvalías generadas por la salida a Bolsa de Euskaltel</w:t>
      </w:r>
      <w:r w:rsidRPr="00BC415D">
        <w:rPr>
          <w:rFonts w:ascii="Arial" w:hAnsi="Arial" w:cs="Arial"/>
          <w:szCs w:val="24"/>
        </w:rPr>
        <w:t xml:space="preserve"> S.A</w:t>
      </w:r>
      <w:r w:rsidR="00A9147D">
        <w:rPr>
          <w:rFonts w:ascii="Arial" w:hAnsi="Arial" w:cs="Arial"/>
          <w:szCs w:val="24"/>
        </w:rPr>
        <w:t>.</w:t>
      </w:r>
      <w:r w:rsidRPr="00BC415D">
        <w:rPr>
          <w:rFonts w:ascii="Arial" w:hAnsi="Arial" w:cs="Arial"/>
          <w:szCs w:val="24"/>
        </w:rPr>
        <w:t>, principal operador de telecomunicaciones en el País Vasco, en el que el Grupo Kutxabank se mantiene, desde su creación en 1995, como accionista de referencia conforme a su fuerte compromiso con el tejido industrial y social del entorno</w:t>
      </w:r>
      <w:r w:rsidR="00875A07">
        <w:rPr>
          <w:rFonts w:ascii="Arial" w:hAnsi="Arial" w:cs="Arial"/>
          <w:szCs w:val="24"/>
        </w:rPr>
        <w:t xml:space="preserve">, así como las obtenidas con la venta del portal inmobiliario </w:t>
      </w:r>
      <w:r w:rsidR="00875A07" w:rsidRPr="00875A07">
        <w:rPr>
          <w:rFonts w:ascii="Arial" w:hAnsi="Arial" w:cs="Arial"/>
          <w:b/>
          <w:szCs w:val="24"/>
        </w:rPr>
        <w:t>Idealista.com</w:t>
      </w:r>
      <w:r w:rsidRPr="00BC415D">
        <w:rPr>
          <w:rFonts w:ascii="Arial" w:hAnsi="Arial" w:cs="Arial"/>
          <w:szCs w:val="24"/>
        </w:rPr>
        <w:t>.</w:t>
      </w:r>
    </w:p>
    <w:p w:rsidR="00CD5596" w:rsidRDefault="00CD559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Default="00A557F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17145</wp:posOffset>
                </wp:positionV>
                <wp:extent cx="6122670" cy="627380"/>
                <wp:effectExtent l="15240" t="17145" r="8890" b="158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DE" w:rsidRPr="00EE4474" w:rsidRDefault="00B90BDE" w:rsidP="00025D7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B47CE0">
                              <w:rPr>
                                <w:b/>
                                <w:color w:val="C00000"/>
                              </w:rPr>
                              <w:t>Los gastos generales han disminuido un 1,6%, lo que demuestra la eficacia de la política de moderación de costes y de optimización de recursos de Kutxabank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.75pt;margin-top:1.35pt;width:482.1pt;height:4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" strokecolor="#c00000" strokeweight="1.5pt">
                <v:textbox>
                  <w:txbxContent>
                    <w:p w:rsidR="00B90BDE" w:rsidRPr="00EE4474" w:rsidRDefault="00B90BDE" w:rsidP="00025D72">
                      <w:pPr>
                        <w:rPr>
                          <w:b/>
                          <w:color w:val="C00000"/>
                        </w:rPr>
                      </w:pPr>
                      <w:r w:rsidRPr="00B47CE0">
                        <w:rPr>
                          <w:b/>
                          <w:color w:val="C00000"/>
                        </w:rPr>
                        <w:t>Los gastos generales han disminuido un 1,6%, lo que demuestra la eficacia de la política de moderación de costes y de optimización de recursos de Kutxabank</w:t>
                      </w:r>
                    </w:p>
                  </w:txbxContent>
                </v:textbox>
              </v:shape>
            </w:pict>
          </mc:Fallback>
        </mc:AlternateContent>
      </w:r>
    </w:p>
    <w:p w:rsidR="00CD5596" w:rsidRDefault="00CD559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A9147D" w:rsidRPr="00BC415D" w:rsidRDefault="00A9147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Default="00CD559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C415D" w:rsidRDefault="00F43737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 xml:space="preserve">El negocio recurrente de </w:t>
      </w:r>
      <w:r w:rsidRPr="00CD5596">
        <w:rPr>
          <w:rFonts w:ascii="Arial" w:hAnsi="Arial" w:cs="Arial"/>
          <w:b/>
          <w:szCs w:val="24"/>
        </w:rPr>
        <w:t>venta de seguros</w:t>
      </w:r>
      <w:r w:rsidRPr="00CD5596">
        <w:rPr>
          <w:rFonts w:ascii="Arial" w:hAnsi="Arial" w:cs="Arial"/>
          <w:szCs w:val="24"/>
        </w:rPr>
        <w:t xml:space="preserve"> ha contribuido de forma destacada</w:t>
      </w:r>
      <w:r w:rsidR="00E067C7" w:rsidRPr="00CD5596">
        <w:rPr>
          <w:rFonts w:ascii="Arial" w:hAnsi="Arial" w:cs="Arial"/>
          <w:szCs w:val="24"/>
        </w:rPr>
        <w:t xml:space="preserve"> a ‘alimentar’ en positivo el epígrafe de </w:t>
      </w:r>
      <w:r w:rsidR="00E067C7" w:rsidRPr="00CD5596">
        <w:rPr>
          <w:rFonts w:ascii="Arial" w:hAnsi="Arial" w:cs="Arial"/>
          <w:b/>
          <w:szCs w:val="24"/>
        </w:rPr>
        <w:t>Otros Resultados de Explotación</w:t>
      </w:r>
      <w:r w:rsidR="00BC415D" w:rsidRPr="00CD5596">
        <w:rPr>
          <w:rFonts w:ascii="Arial" w:hAnsi="Arial" w:cs="Arial"/>
          <w:szCs w:val="24"/>
        </w:rPr>
        <w:t xml:space="preserve">, </w:t>
      </w:r>
      <w:r w:rsidR="00E067C7" w:rsidRPr="00CD5596">
        <w:rPr>
          <w:rFonts w:ascii="Arial" w:hAnsi="Arial" w:cs="Arial"/>
          <w:szCs w:val="24"/>
        </w:rPr>
        <w:t xml:space="preserve">con </w:t>
      </w:r>
      <w:r w:rsidR="00BC415D" w:rsidRPr="00CD5596">
        <w:rPr>
          <w:rFonts w:ascii="Arial" w:hAnsi="Arial" w:cs="Arial"/>
          <w:szCs w:val="24"/>
        </w:rPr>
        <w:t xml:space="preserve">más de </w:t>
      </w:r>
      <w:r w:rsidR="00875A07" w:rsidRPr="00CD5596">
        <w:rPr>
          <w:rFonts w:ascii="Arial" w:hAnsi="Arial" w:cs="Arial"/>
          <w:szCs w:val="24"/>
        </w:rPr>
        <w:t>58,3</w:t>
      </w:r>
      <w:r w:rsidR="00BC415D" w:rsidRPr="00CD5596">
        <w:rPr>
          <w:rFonts w:ascii="Arial" w:hAnsi="Arial" w:cs="Arial"/>
          <w:szCs w:val="24"/>
        </w:rPr>
        <w:t xml:space="preserve"> millones de euros</w:t>
      </w:r>
      <w:r w:rsidR="00E067C7" w:rsidRPr="00CD5596">
        <w:rPr>
          <w:rFonts w:ascii="Arial" w:hAnsi="Arial" w:cs="Arial"/>
          <w:szCs w:val="24"/>
        </w:rPr>
        <w:t xml:space="preserve">. La cifra es, no obstante, </w:t>
      </w:r>
      <w:r w:rsidR="00875A07" w:rsidRPr="00CD5596">
        <w:rPr>
          <w:rFonts w:ascii="Arial" w:hAnsi="Arial" w:cs="Arial"/>
          <w:szCs w:val="24"/>
        </w:rPr>
        <w:t>sensiblemente inferior a la de septiembre de</w:t>
      </w:r>
      <w:r w:rsidR="00BC415D" w:rsidRPr="00CD5596">
        <w:rPr>
          <w:rFonts w:ascii="Arial" w:hAnsi="Arial" w:cs="Arial"/>
          <w:szCs w:val="24"/>
        </w:rPr>
        <w:t xml:space="preserve"> 2014, debido fundamentalmente a que en el primer semestre del 2014 se pusie</w:t>
      </w:r>
      <w:r w:rsidR="00875A07" w:rsidRPr="00CD5596">
        <w:rPr>
          <w:rFonts w:ascii="Arial" w:hAnsi="Arial" w:cs="Arial"/>
          <w:szCs w:val="24"/>
        </w:rPr>
        <w:t xml:space="preserve">ron en valor </w:t>
      </w:r>
      <w:r w:rsidR="00BC415D" w:rsidRPr="00CD5596">
        <w:rPr>
          <w:rFonts w:ascii="Arial" w:hAnsi="Arial" w:cs="Arial"/>
          <w:szCs w:val="24"/>
        </w:rPr>
        <w:t>determinadas carteras de seguros, y a la percepción extraordinaria de otros  ingresos no recurrentes.</w:t>
      </w:r>
    </w:p>
    <w:p w:rsidR="00A9147D" w:rsidRPr="00BC415D" w:rsidRDefault="00A9147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A4659F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BC415D">
        <w:rPr>
          <w:rFonts w:ascii="Arial" w:hAnsi="Arial" w:cs="Arial"/>
          <w:szCs w:val="24"/>
        </w:rPr>
        <w:t xml:space="preserve">Con todo ello, el </w:t>
      </w:r>
      <w:r w:rsidRPr="00144DA7">
        <w:rPr>
          <w:rFonts w:ascii="Arial" w:hAnsi="Arial" w:cs="Arial"/>
          <w:b/>
          <w:szCs w:val="24"/>
        </w:rPr>
        <w:t xml:space="preserve">Margen </w:t>
      </w:r>
      <w:r w:rsidR="00BB335A">
        <w:rPr>
          <w:rFonts w:ascii="Arial" w:hAnsi="Arial" w:cs="Arial"/>
          <w:b/>
          <w:szCs w:val="24"/>
        </w:rPr>
        <w:t xml:space="preserve">de Clientes y Participadas </w:t>
      </w:r>
      <w:r w:rsidR="00A9147D">
        <w:rPr>
          <w:rFonts w:ascii="Arial" w:hAnsi="Arial" w:cs="Arial"/>
          <w:szCs w:val="24"/>
        </w:rPr>
        <w:t>ha alcanzado</w:t>
      </w:r>
      <w:r w:rsidRPr="00BC415D">
        <w:rPr>
          <w:rFonts w:ascii="Arial" w:hAnsi="Arial" w:cs="Arial"/>
          <w:szCs w:val="24"/>
        </w:rPr>
        <w:t xml:space="preserve"> los </w:t>
      </w:r>
      <w:r w:rsidR="00BB335A">
        <w:rPr>
          <w:rFonts w:ascii="Arial" w:hAnsi="Arial" w:cs="Arial"/>
          <w:szCs w:val="24"/>
        </w:rPr>
        <w:t>1.080,7</w:t>
      </w:r>
      <w:r w:rsidRPr="00BC415D">
        <w:rPr>
          <w:rFonts w:ascii="Arial" w:hAnsi="Arial" w:cs="Arial"/>
          <w:szCs w:val="24"/>
        </w:rPr>
        <w:t xml:space="preserve"> millones de euros, </w:t>
      </w:r>
      <w:r w:rsidR="00A9147D">
        <w:rPr>
          <w:rFonts w:ascii="Arial" w:hAnsi="Arial" w:cs="Arial"/>
          <w:szCs w:val="24"/>
        </w:rPr>
        <w:t xml:space="preserve">porcentaje </w:t>
      </w:r>
      <w:r w:rsidRPr="00BC415D">
        <w:rPr>
          <w:rFonts w:ascii="Arial" w:hAnsi="Arial" w:cs="Arial"/>
          <w:szCs w:val="24"/>
        </w:rPr>
        <w:t xml:space="preserve">un </w:t>
      </w:r>
      <w:r w:rsidR="00BB335A">
        <w:rPr>
          <w:rFonts w:ascii="Arial" w:hAnsi="Arial" w:cs="Arial"/>
          <w:szCs w:val="24"/>
        </w:rPr>
        <w:t>9,8</w:t>
      </w:r>
      <w:r w:rsidRPr="00BC415D">
        <w:rPr>
          <w:rFonts w:ascii="Arial" w:hAnsi="Arial" w:cs="Arial"/>
          <w:szCs w:val="24"/>
        </w:rPr>
        <w:t xml:space="preserve">% </w:t>
      </w:r>
      <w:r w:rsidR="00BB335A">
        <w:rPr>
          <w:rFonts w:ascii="Arial" w:hAnsi="Arial" w:cs="Arial"/>
          <w:szCs w:val="24"/>
        </w:rPr>
        <w:t>superior</w:t>
      </w:r>
      <w:r w:rsidRPr="00BC415D">
        <w:rPr>
          <w:rFonts w:ascii="Arial" w:hAnsi="Arial" w:cs="Arial"/>
          <w:szCs w:val="24"/>
        </w:rPr>
        <w:t xml:space="preserve"> al de</w:t>
      </w:r>
      <w:r w:rsidR="00BB335A">
        <w:rPr>
          <w:rFonts w:ascii="Arial" w:hAnsi="Arial" w:cs="Arial"/>
          <w:szCs w:val="24"/>
        </w:rPr>
        <w:t>l cierre del tercer trimestre de 2014.</w:t>
      </w:r>
    </w:p>
    <w:p w:rsidR="00025D72" w:rsidRDefault="00025D72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A97AAB" w:rsidRDefault="00A97AAB" w:rsidP="00A97AA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>
        <w:rPr>
          <w:rFonts w:ascii="Arial" w:hAnsi="Arial" w:cs="Arial"/>
          <w:b/>
          <w:bCs/>
        </w:rPr>
        <w:t>Gastos de Administración</w:t>
      </w:r>
      <w:r>
        <w:rPr>
          <w:rFonts w:ascii="Arial" w:hAnsi="Arial" w:cs="Arial"/>
        </w:rPr>
        <w:t xml:space="preserve"> han mantenido la tendencia de contención, </w:t>
      </w:r>
      <w:r w:rsidR="004A51EA" w:rsidRPr="00B47CE0">
        <w:rPr>
          <w:rFonts w:ascii="Arial" w:hAnsi="Arial" w:cs="Arial"/>
        </w:rPr>
        <w:t>con una</w:t>
      </w:r>
      <w:r w:rsidRPr="00B47CE0">
        <w:rPr>
          <w:rFonts w:ascii="Arial" w:hAnsi="Arial" w:cs="Arial"/>
        </w:rPr>
        <w:t xml:space="preserve"> desta</w:t>
      </w:r>
      <w:r w:rsidR="004A51EA" w:rsidRPr="00B47CE0">
        <w:rPr>
          <w:rFonts w:ascii="Arial" w:hAnsi="Arial" w:cs="Arial"/>
        </w:rPr>
        <w:t xml:space="preserve">cada </w:t>
      </w:r>
      <w:r w:rsidRPr="00B47CE0">
        <w:rPr>
          <w:rFonts w:ascii="Arial" w:hAnsi="Arial" w:cs="Arial"/>
        </w:rPr>
        <w:t>bajada  del 1,6% de los gastos generales,</w:t>
      </w:r>
      <w:r>
        <w:rPr>
          <w:rFonts w:ascii="Arial" w:hAnsi="Arial" w:cs="Arial"/>
        </w:rPr>
        <w:t xml:space="preserve"> lo que pone en valor la eficacia de la política de moderación de costes y de optimización de recursos. Las </w:t>
      </w:r>
      <w:r>
        <w:rPr>
          <w:rFonts w:ascii="Arial" w:hAnsi="Arial" w:cs="Arial"/>
          <w:b/>
          <w:bCs/>
        </w:rPr>
        <w:t>amortizaciones</w:t>
      </w:r>
      <w:r>
        <w:rPr>
          <w:rFonts w:ascii="Arial" w:hAnsi="Arial" w:cs="Arial"/>
        </w:rPr>
        <w:t xml:space="preserve"> en los primeros nueve meses del año se han reducido, por último, un 14,5%, y han contribuido a la positiva evolución de esta parte de la cuenta de resultados. En conjunto, el </w:t>
      </w:r>
      <w:r>
        <w:rPr>
          <w:rFonts w:ascii="Arial" w:hAnsi="Arial" w:cs="Arial"/>
          <w:b/>
          <w:bCs/>
        </w:rPr>
        <w:t>índice de eficiencia</w:t>
      </w:r>
      <w:r>
        <w:rPr>
          <w:rFonts w:ascii="Arial" w:hAnsi="Arial" w:cs="Arial"/>
        </w:rPr>
        <w:t xml:space="preserve"> ha quedado situado en el 60,74%.</w:t>
      </w:r>
    </w:p>
    <w:p w:rsidR="00BC415D" w:rsidRPr="00BC415D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BC415D">
        <w:rPr>
          <w:rFonts w:ascii="Arial" w:hAnsi="Arial" w:cs="Arial"/>
          <w:szCs w:val="24"/>
        </w:rPr>
        <w:tab/>
      </w:r>
      <w:r w:rsidRPr="00BC415D">
        <w:rPr>
          <w:rFonts w:ascii="Arial" w:hAnsi="Arial" w:cs="Arial"/>
          <w:szCs w:val="24"/>
        </w:rPr>
        <w:tab/>
        <w:t xml:space="preserve">   </w:t>
      </w:r>
      <w:r w:rsidRPr="00BC415D">
        <w:rPr>
          <w:rFonts w:ascii="Arial" w:hAnsi="Arial" w:cs="Arial"/>
          <w:szCs w:val="24"/>
        </w:rPr>
        <w:tab/>
      </w:r>
    </w:p>
    <w:p w:rsidR="00C873F2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BC415D">
        <w:rPr>
          <w:rFonts w:ascii="Arial" w:hAnsi="Arial" w:cs="Arial"/>
          <w:szCs w:val="24"/>
        </w:rPr>
        <w:t xml:space="preserve">Como consecuencia de todo lo </w:t>
      </w:r>
      <w:r w:rsidR="00C873F2">
        <w:rPr>
          <w:rFonts w:ascii="Arial" w:hAnsi="Arial" w:cs="Arial"/>
          <w:szCs w:val="24"/>
        </w:rPr>
        <w:t>anterior</w:t>
      </w:r>
      <w:r w:rsidRPr="00BC415D">
        <w:rPr>
          <w:rFonts w:ascii="Arial" w:hAnsi="Arial" w:cs="Arial"/>
          <w:szCs w:val="24"/>
        </w:rPr>
        <w:t xml:space="preserve">, el </w:t>
      </w:r>
      <w:r w:rsidRPr="00144DA7">
        <w:rPr>
          <w:rFonts w:ascii="Arial" w:hAnsi="Arial" w:cs="Arial"/>
          <w:b/>
          <w:szCs w:val="24"/>
        </w:rPr>
        <w:t xml:space="preserve">Margen </w:t>
      </w:r>
      <w:r w:rsidR="00D31F00">
        <w:rPr>
          <w:rFonts w:ascii="Arial" w:hAnsi="Arial" w:cs="Arial"/>
          <w:b/>
          <w:szCs w:val="24"/>
        </w:rPr>
        <w:t>antes de Provisiones</w:t>
      </w:r>
      <w:r w:rsidRPr="00BC415D">
        <w:rPr>
          <w:rFonts w:ascii="Arial" w:hAnsi="Arial" w:cs="Arial"/>
          <w:szCs w:val="24"/>
        </w:rPr>
        <w:t xml:space="preserve"> </w:t>
      </w:r>
      <w:r w:rsidR="00C873F2">
        <w:rPr>
          <w:rFonts w:ascii="Arial" w:hAnsi="Arial" w:cs="Arial"/>
          <w:szCs w:val="24"/>
        </w:rPr>
        <w:t xml:space="preserve">ha </w:t>
      </w:r>
      <w:r w:rsidRPr="00BC415D">
        <w:rPr>
          <w:rFonts w:ascii="Arial" w:hAnsi="Arial" w:cs="Arial"/>
          <w:szCs w:val="24"/>
        </w:rPr>
        <w:t>alcanza</w:t>
      </w:r>
      <w:r w:rsidR="00C873F2">
        <w:rPr>
          <w:rFonts w:ascii="Arial" w:hAnsi="Arial" w:cs="Arial"/>
          <w:szCs w:val="24"/>
        </w:rPr>
        <w:t>do</w:t>
      </w:r>
      <w:r w:rsidRPr="00BC415D">
        <w:rPr>
          <w:rFonts w:ascii="Arial" w:hAnsi="Arial" w:cs="Arial"/>
          <w:szCs w:val="24"/>
        </w:rPr>
        <w:t xml:space="preserve"> los </w:t>
      </w:r>
      <w:r w:rsidR="00D31F00">
        <w:rPr>
          <w:rFonts w:ascii="Arial" w:hAnsi="Arial" w:cs="Arial"/>
          <w:szCs w:val="24"/>
        </w:rPr>
        <w:t>517,7</w:t>
      </w:r>
      <w:r w:rsidRPr="00BC415D">
        <w:rPr>
          <w:rFonts w:ascii="Arial" w:hAnsi="Arial" w:cs="Arial"/>
          <w:szCs w:val="24"/>
        </w:rPr>
        <w:t xml:space="preserve"> millones de euros. En cuanto a los saneamientos de la cartera crediticia</w:t>
      </w:r>
      <w:r w:rsidR="00B47CE0">
        <w:rPr>
          <w:rFonts w:ascii="Arial" w:hAnsi="Arial" w:cs="Arial"/>
          <w:szCs w:val="24"/>
        </w:rPr>
        <w:t xml:space="preserve">, </w:t>
      </w:r>
      <w:r w:rsidR="00B47CE0" w:rsidRPr="00512A11">
        <w:rPr>
          <w:rFonts w:ascii="Arial" w:hAnsi="Arial" w:cs="Arial"/>
          <w:szCs w:val="24"/>
        </w:rPr>
        <w:t>inmobiliaria</w:t>
      </w:r>
      <w:r w:rsidRPr="00512A11">
        <w:rPr>
          <w:rFonts w:ascii="Arial" w:hAnsi="Arial" w:cs="Arial"/>
          <w:szCs w:val="24"/>
        </w:rPr>
        <w:t xml:space="preserve"> y de participaciones, se </w:t>
      </w:r>
      <w:r w:rsidR="00C873F2" w:rsidRPr="00512A11">
        <w:rPr>
          <w:rFonts w:ascii="Arial" w:hAnsi="Arial" w:cs="Arial"/>
          <w:szCs w:val="24"/>
        </w:rPr>
        <w:t>han mantenido</w:t>
      </w:r>
      <w:r w:rsidRPr="00512A11">
        <w:rPr>
          <w:rFonts w:ascii="Arial" w:hAnsi="Arial" w:cs="Arial"/>
          <w:szCs w:val="24"/>
        </w:rPr>
        <w:t xml:space="preserve"> los máximos niveles de prudencia en la cobertura de</w:t>
      </w:r>
      <w:r w:rsidR="00B47CE0" w:rsidRPr="00512A11">
        <w:rPr>
          <w:rFonts w:ascii="Arial" w:hAnsi="Arial" w:cs="Arial"/>
          <w:szCs w:val="24"/>
        </w:rPr>
        <w:t xml:space="preserve"> dichos</w:t>
      </w:r>
      <w:r w:rsidRPr="00512A11">
        <w:rPr>
          <w:rFonts w:ascii="Arial" w:hAnsi="Arial" w:cs="Arial"/>
          <w:szCs w:val="24"/>
        </w:rPr>
        <w:t xml:space="preserve"> riesgo</w:t>
      </w:r>
      <w:r w:rsidR="00B47CE0" w:rsidRPr="00512A11">
        <w:rPr>
          <w:rFonts w:ascii="Arial" w:hAnsi="Arial" w:cs="Arial"/>
          <w:szCs w:val="24"/>
        </w:rPr>
        <w:t xml:space="preserve">s, </w:t>
      </w:r>
      <w:r w:rsidRPr="00512A11">
        <w:rPr>
          <w:rFonts w:ascii="Arial" w:hAnsi="Arial" w:cs="Arial"/>
          <w:szCs w:val="24"/>
        </w:rPr>
        <w:t xml:space="preserve">a pesar del menor deterioro de </w:t>
      </w:r>
      <w:r w:rsidR="00B47CE0" w:rsidRPr="00512A11">
        <w:rPr>
          <w:rFonts w:ascii="Arial" w:hAnsi="Arial" w:cs="Arial"/>
          <w:szCs w:val="24"/>
        </w:rPr>
        <w:t>é</w:t>
      </w:r>
      <w:r w:rsidRPr="00512A11">
        <w:rPr>
          <w:rFonts w:ascii="Arial" w:hAnsi="Arial" w:cs="Arial"/>
          <w:szCs w:val="24"/>
        </w:rPr>
        <w:t xml:space="preserve">stos y </w:t>
      </w:r>
      <w:r w:rsidR="00C873F2" w:rsidRPr="00512A11">
        <w:rPr>
          <w:rFonts w:ascii="Arial" w:hAnsi="Arial" w:cs="Arial"/>
          <w:szCs w:val="24"/>
        </w:rPr>
        <w:t xml:space="preserve">de </w:t>
      </w:r>
      <w:r w:rsidRPr="00512A11">
        <w:rPr>
          <w:rFonts w:ascii="Arial" w:hAnsi="Arial" w:cs="Arial"/>
          <w:szCs w:val="24"/>
        </w:rPr>
        <w:t>los esfuerzos realizados en años anteriores</w:t>
      </w:r>
      <w:r w:rsidRPr="00BC415D">
        <w:rPr>
          <w:rFonts w:ascii="Arial" w:hAnsi="Arial" w:cs="Arial"/>
          <w:szCs w:val="24"/>
        </w:rPr>
        <w:t xml:space="preserve">. </w:t>
      </w:r>
    </w:p>
    <w:p w:rsidR="00C873F2" w:rsidRDefault="00C873F2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C415D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BC415D">
        <w:rPr>
          <w:rFonts w:ascii="Arial" w:hAnsi="Arial" w:cs="Arial"/>
          <w:szCs w:val="24"/>
        </w:rPr>
        <w:t xml:space="preserve">De este modo, la mejora de los resultados del negocio bancario (margen financiero con ayuda de los precios de pasivo, ingresos por servicios y gastos de explotación), </w:t>
      </w:r>
      <w:r w:rsidR="00C873F2">
        <w:rPr>
          <w:rFonts w:ascii="Arial" w:hAnsi="Arial" w:cs="Arial"/>
          <w:szCs w:val="24"/>
        </w:rPr>
        <w:t>y la contribución de los</w:t>
      </w:r>
      <w:r w:rsidRPr="00BC415D">
        <w:rPr>
          <w:rFonts w:ascii="Arial" w:hAnsi="Arial" w:cs="Arial"/>
          <w:szCs w:val="24"/>
        </w:rPr>
        <w:t xml:space="preserve"> ingresos derivados de la cartera de participadas, </w:t>
      </w:r>
      <w:r w:rsidR="00C873F2">
        <w:rPr>
          <w:rFonts w:ascii="Arial" w:hAnsi="Arial" w:cs="Arial"/>
          <w:szCs w:val="24"/>
        </w:rPr>
        <w:t>han permitido</w:t>
      </w:r>
      <w:r w:rsidRPr="00BC415D">
        <w:rPr>
          <w:rFonts w:ascii="Arial" w:hAnsi="Arial" w:cs="Arial"/>
          <w:szCs w:val="24"/>
        </w:rPr>
        <w:t xml:space="preserve"> </w:t>
      </w:r>
      <w:r w:rsidR="00C873F2">
        <w:rPr>
          <w:rFonts w:ascii="Arial" w:hAnsi="Arial" w:cs="Arial"/>
          <w:szCs w:val="24"/>
        </w:rPr>
        <w:t xml:space="preserve">contabilizar unas </w:t>
      </w:r>
      <w:r w:rsidR="00C873F2" w:rsidRPr="00144DA7">
        <w:rPr>
          <w:rFonts w:ascii="Arial" w:hAnsi="Arial" w:cs="Arial"/>
          <w:b/>
          <w:szCs w:val="24"/>
        </w:rPr>
        <w:t>dotaciones</w:t>
      </w:r>
      <w:r w:rsidRPr="00144DA7">
        <w:rPr>
          <w:rFonts w:ascii="Arial" w:hAnsi="Arial" w:cs="Arial"/>
          <w:b/>
          <w:szCs w:val="24"/>
        </w:rPr>
        <w:t xml:space="preserve"> significativas</w:t>
      </w:r>
      <w:r w:rsidR="00C873F2" w:rsidRPr="00144DA7">
        <w:rPr>
          <w:rFonts w:ascii="Arial" w:hAnsi="Arial" w:cs="Arial"/>
          <w:b/>
          <w:szCs w:val="24"/>
        </w:rPr>
        <w:t xml:space="preserve"> de</w:t>
      </w:r>
      <w:r w:rsidRPr="00144DA7">
        <w:rPr>
          <w:rFonts w:ascii="Arial" w:hAnsi="Arial" w:cs="Arial"/>
          <w:b/>
          <w:szCs w:val="24"/>
        </w:rPr>
        <w:t xml:space="preserve"> </w:t>
      </w:r>
      <w:r w:rsidR="00D31F00">
        <w:rPr>
          <w:rFonts w:ascii="Arial" w:hAnsi="Arial" w:cs="Arial"/>
          <w:b/>
          <w:szCs w:val="24"/>
        </w:rPr>
        <w:t>39</w:t>
      </w:r>
      <w:r w:rsidR="009E5474">
        <w:rPr>
          <w:rFonts w:ascii="Arial" w:hAnsi="Arial" w:cs="Arial"/>
          <w:b/>
          <w:szCs w:val="24"/>
        </w:rPr>
        <w:t>5</w:t>
      </w:r>
      <w:r w:rsidR="00D31F00">
        <w:rPr>
          <w:rFonts w:ascii="Arial" w:hAnsi="Arial" w:cs="Arial"/>
          <w:b/>
          <w:szCs w:val="24"/>
        </w:rPr>
        <w:t>,1</w:t>
      </w:r>
      <w:r w:rsidRPr="00144DA7">
        <w:rPr>
          <w:rFonts w:ascii="Arial" w:hAnsi="Arial" w:cs="Arial"/>
          <w:b/>
          <w:szCs w:val="24"/>
        </w:rPr>
        <w:t xml:space="preserve"> millones de euros</w:t>
      </w:r>
      <w:r w:rsidR="00C873F2">
        <w:rPr>
          <w:rFonts w:ascii="Arial" w:hAnsi="Arial" w:cs="Arial"/>
          <w:szCs w:val="24"/>
        </w:rPr>
        <w:t>. E</w:t>
      </w:r>
      <w:r w:rsidRPr="00BC415D">
        <w:rPr>
          <w:rFonts w:ascii="Arial" w:hAnsi="Arial" w:cs="Arial"/>
          <w:szCs w:val="24"/>
        </w:rPr>
        <w:t xml:space="preserve">l Grupo </w:t>
      </w:r>
      <w:r w:rsidR="00C873F2">
        <w:rPr>
          <w:rFonts w:ascii="Arial" w:hAnsi="Arial" w:cs="Arial"/>
          <w:szCs w:val="24"/>
        </w:rPr>
        <w:t xml:space="preserve">financiero </w:t>
      </w:r>
      <w:r w:rsidR="002E382B">
        <w:rPr>
          <w:rFonts w:ascii="Arial" w:hAnsi="Arial" w:cs="Arial"/>
          <w:szCs w:val="24"/>
        </w:rPr>
        <w:t xml:space="preserve">se prepara de esta forma para hacer frente a un </w:t>
      </w:r>
      <w:r w:rsidRPr="00BC415D">
        <w:rPr>
          <w:rFonts w:ascii="Arial" w:hAnsi="Arial" w:cs="Arial"/>
          <w:szCs w:val="24"/>
        </w:rPr>
        <w:t xml:space="preserve">exigente entorno normativo y regulatorio. Todo ello sin </w:t>
      </w:r>
      <w:r w:rsidR="002E382B">
        <w:rPr>
          <w:rFonts w:ascii="Arial" w:hAnsi="Arial" w:cs="Arial"/>
          <w:szCs w:val="24"/>
        </w:rPr>
        <w:t>haber dejado</w:t>
      </w:r>
      <w:r w:rsidRPr="00BC415D">
        <w:rPr>
          <w:rFonts w:ascii="Arial" w:hAnsi="Arial" w:cs="Arial"/>
          <w:szCs w:val="24"/>
        </w:rPr>
        <w:t xml:space="preserve"> de incrementar el </w:t>
      </w:r>
      <w:r w:rsidR="002E382B" w:rsidRPr="00144DA7">
        <w:rPr>
          <w:rFonts w:ascii="Arial" w:hAnsi="Arial" w:cs="Arial"/>
          <w:b/>
          <w:szCs w:val="24"/>
        </w:rPr>
        <w:t>B</w:t>
      </w:r>
      <w:r w:rsidRPr="00144DA7">
        <w:rPr>
          <w:rFonts w:ascii="Arial" w:hAnsi="Arial" w:cs="Arial"/>
          <w:b/>
          <w:szCs w:val="24"/>
        </w:rPr>
        <w:t>eneficio consolidado</w:t>
      </w:r>
      <w:r w:rsidR="00D31F00" w:rsidRPr="00D31F00">
        <w:rPr>
          <w:rFonts w:ascii="Arial" w:hAnsi="Arial" w:cs="Arial"/>
          <w:szCs w:val="24"/>
        </w:rPr>
        <w:t>,</w:t>
      </w:r>
      <w:r w:rsidRPr="00BC415D">
        <w:rPr>
          <w:rFonts w:ascii="Arial" w:hAnsi="Arial" w:cs="Arial"/>
          <w:szCs w:val="24"/>
        </w:rPr>
        <w:t xml:space="preserve"> que </w:t>
      </w:r>
      <w:r w:rsidR="002E382B">
        <w:rPr>
          <w:rFonts w:ascii="Arial" w:hAnsi="Arial" w:cs="Arial"/>
          <w:szCs w:val="24"/>
        </w:rPr>
        <w:t xml:space="preserve">ha ascendido </w:t>
      </w:r>
      <w:r w:rsidRPr="00BC415D">
        <w:rPr>
          <w:rFonts w:ascii="Arial" w:hAnsi="Arial" w:cs="Arial"/>
          <w:szCs w:val="24"/>
        </w:rPr>
        <w:t xml:space="preserve">hasta los </w:t>
      </w:r>
      <w:r w:rsidR="00D31F00">
        <w:rPr>
          <w:rFonts w:ascii="Arial" w:hAnsi="Arial" w:cs="Arial"/>
          <w:szCs w:val="24"/>
        </w:rPr>
        <w:t>157,6</w:t>
      </w:r>
      <w:r w:rsidRPr="00BC415D">
        <w:rPr>
          <w:rFonts w:ascii="Arial" w:hAnsi="Arial" w:cs="Arial"/>
          <w:szCs w:val="24"/>
        </w:rPr>
        <w:t xml:space="preserve"> millones de euros, un </w:t>
      </w:r>
      <w:r w:rsidR="00D31F00">
        <w:rPr>
          <w:rFonts w:ascii="Arial" w:hAnsi="Arial" w:cs="Arial"/>
          <w:szCs w:val="24"/>
        </w:rPr>
        <w:t>11,7</w:t>
      </w:r>
      <w:r w:rsidRPr="00BC415D">
        <w:rPr>
          <w:rFonts w:ascii="Arial" w:hAnsi="Arial" w:cs="Arial"/>
          <w:szCs w:val="24"/>
        </w:rPr>
        <w:t xml:space="preserve">% más que en el </w:t>
      </w:r>
      <w:r w:rsidR="00D31F00">
        <w:rPr>
          <w:rFonts w:ascii="Arial" w:hAnsi="Arial" w:cs="Arial"/>
          <w:szCs w:val="24"/>
        </w:rPr>
        <w:t>tercer</w:t>
      </w:r>
      <w:r w:rsidRPr="00BC415D">
        <w:rPr>
          <w:rFonts w:ascii="Arial" w:hAnsi="Arial" w:cs="Arial"/>
          <w:szCs w:val="24"/>
        </w:rPr>
        <w:t xml:space="preserve"> </w:t>
      </w:r>
      <w:r w:rsidR="00986696">
        <w:rPr>
          <w:rFonts w:ascii="Arial" w:hAnsi="Arial" w:cs="Arial"/>
          <w:szCs w:val="24"/>
        </w:rPr>
        <w:t>trimestre</w:t>
      </w:r>
      <w:r w:rsidRPr="00BC415D">
        <w:rPr>
          <w:rFonts w:ascii="Arial" w:hAnsi="Arial" w:cs="Arial"/>
          <w:szCs w:val="24"/>
        </w:rPr>
        <w:t xml:space="preserve"> de 2014.</w:t>
      </w:r>
    </w:p>
    <w:p w:rsidR="00682C16" w:rsidRDefault="00682C16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190793" w:rsidRDefault="00190793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190793" w:rsidRDefault="00190793" w:rsidP="00190793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FFFFFF"/>
          <w:sz w:val="28"/>
          <w:szCs w:val="28"/>
          <w:lang w:val="es-ES"/>
        </w:rPr>
      </w:pPr>
      <w:r w:rsidRPr="007B7996"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 xml:space="preserve">Resultados del Grupo Kutxabank, </w:t>
      </w:r>
      <w:r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>tercer trimestre</w:t>
      </w:r>
      <w:r w:rsidRPr="007B7996"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 xml:space="preserve"> de 20</w:t>
      </w:r>
      <w:r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>15</w:t>
      </w:r>
      <w:bookmarkStart w:id="0" w:name="_GoBack"/>
      <w:bookmarkEnd w:id="0"/>
    </w:p>
    <w:p w:rsidR="00190793" w:rsidRDefault="00190793" w:rsidP="00190793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tbl>
      <w:tblPr>
        <w:tblW w:w="8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1"/>
        <w:gridCol w:w="1153"/>
        <w:gridCol w:w="1153"/>
      </w:tblGrid>
      <w:tr w:rsidR="00834AE6" w:rsidRPr="00190793" w:rsidTr="00834AE6">
        <w:trPr>
          <w:trHeight w:val="313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</w:pPr>
            <w:r w:rsidRPr="0019079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  <w:t>3T 2015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B47CE0" w:rsidP="00834A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</w:pPr>
            <w:r w:rsidRPr="008A0E59">
              <w:rPr>
                <w:rFonts w:ascii="Calibri" w:eastAsia="Calibri" w:hAnsi="Calibri" w:cs="Calibri"/>
                <w:sz w:val="20"/>
                <w:lang w:val="es-ES"/>
              </w:rPr>
              <w:t>(*)</w:t>
            </w:r>
            <w:r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  <w:r w:rsidR="00834AE6" w:rsidRPr="0019079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  <w:t>∆ %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Margen de Intereses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467,8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2,1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Comisiones Netas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269,6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5,0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Margen de Clientes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737,4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3,2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Rendimientos de Participadas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50,2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(21,3)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Resultados por Ventas y Operac. Financieras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234,7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131,0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Otros Resultados de Explotación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58,3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(43,9)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Margen de Clientes y Participadas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1.080,7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9,8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Gastos Administración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(522,2)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(0,3)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Amortizaciones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(40,8)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(14,5)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Margen antes de Provisiones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517,7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25,4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Deterioro Activos Financieros y Otras Provisiones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A06788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 (39</w:t>
            </w:r>
            <w:r>
              <w:rPr>
                <w:rFonts w:ascii="Tahoma" w:eastAsia="Times New Roman" w:hAnsi="Tahoma" w:cs="Tahoma"/>
                <w:sz w:val="20"/>
                <w:lang w:val="es-ES" w:eastAsia="es-ES"/>
              </w:rPr>
              <w:t>5</w:t>
            </w: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>,1)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lang w:val="es-ES" w:eastAsia="es-ES"/>
              </w:rPr>
              <w:t>42,1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sz w:val="20"/>
                <w:lang w:val="es-ES" w:eastAsia="es-ES"/>
              </w:rPr>
              <w:t xml:space="preserve">Otros Resultados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lang w:val="es-ES" w:eastAsia="es-ES"/>
              </w:rPr>
              <w:t>35,2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sz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lang w:val="es-ES" w:eastAsia="es-ES"/>
              </w:rPr>
              <w:t>10,8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Resultado antes de Impuestos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157,8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 xml:space="preserve"> (5,3)</w:t>
            </w:r>
          </w:p>
        </w:tc>
      </w:tr>
      <w:tr w:rsidR="00834AE6" w:rsidRPr="00190793" w:rsidTr="00834AE6">
        <w:trPr>
          <w:trHeight w:val="298"/>
        </w:trPr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Resultado atribuido al Grupo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157,6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E6" w:rsidRPr="00190793" w:rsidRDefault="00834AE6" w:rsidP="00190793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</w:pPr>
            <w:r w:rsidRPr="00190793">
              <w:rPr>
                <w:rFonts w:ascii="Tahoma" w:eastAsia="Times New Roman" w:hAnsi="Tahoma" w:cs="Tahoma"/>
                <w:b/>
                <w:bCs/>
                <w:sz w:val="20"/>
                <w:lang w:val="es-ES" w:eastAsia="es-ES"/>
              </w:rPr>
              <w:t>11,7</w:t>
            </w:r>
          </w:p>
        </w:tc>
      </w:tr>
    </w:tbl>
    <w:p w:rsidR="0077752C" w:rsidRDefault="0077752C" w:rsidP="0077752C">
      <w:pPr>
        <w:rPr>
          <w:rFonts w:ascii="Calibri" w:eastAsia="Calibri" w:hAnsi="Calibri" w:cs="Calibri"/>
          <w:sz w:val="20"/>
          <w:lang w:val="es-ES"/>
        </w:rPr>
      </w:pPr>
    </w:p>
    <w:p w:rsidR="0077752C" w:rsidRPr="0077752C" w:rsidRDefault="0077752C" w:rsidP="0077752C">
      <w:pPr>
        <w:jc w:val="both"/>
        <w:rPr>
          <w:rFonts w:ascii="Calibri" w:eastAsia="Calibri" w:hAnsi="Calibri" w:cs="Calibri"/>
          <w:color w:val="1F497D"/>
          <w:sz w:val="22"/>
          <w:szCs w:val="22"/>
          <w:lang w:val="es-ES"/>
        </w:rPr>
      </w:pPr>
      <w:r w:rsidRPr="0077752C">
        <w:rPr>
          <w:rFonts w:ascii="Calibri" w:eastAsia="Calibri" w:hAnsi="Calibri" w:cs="Calibri"/>
          <w:sz w:val="20"/>
          <w:lang w:val="es-ES"/>
        </w:rPr>
        <w:t>(*)Con motivo de la entrada en vigor en diciembre 2014, y con carácter retroactivo, de la nueva norma internacional contable sobre gravámenes (CINIIF 21), se ha establecido que el devengo y el registro de las aportaciones al Fondo de Garantía de Depósitos se efectuarán sólo a final de año, eliminándose las eventuales periodificaciones intermedias. Los estados financieros consolidados de 2014 han sido reexpresados con dicho criterio para favorecer una comparativa homogénea.”</w:t>
      </w:r>
    </w:p>
    <w:p w:rsidR="00190793" w:rsidRDefault="00190793" w:rsidP="00190793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190793" w:rsidRDefault="00190793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FFFFFF"/>
          <w:sz w:val="28"/>
          <w:szCs w:val="28"/>
          <w:highlight w:val="red"/>
          <w:lang w:val="es-ES"/>
        </w:rPr>
      </w:pPr>
      <w:r w:rsidRPr="00CD5596"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>Crece la captación de recursos en las redes de negocio</w: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  <w:highlight w:val="red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eastAsia="Times New Roman" w:hAnsi="Arial" w:cs="Arial"/>
          <w:szCs w:val="24"/>
        </w:rPr>
      </w:pPr>
      <w:r w:rsidRPr="00CD5596">
        <w:rPr>
          <w:rFonts w:ascii="Arial" w:eastAsia="Times New Roman" w:hAnsi="Arial" w:cs="Arial"/>
          <w:b/>
          <w:bCs/>
          <w:szCs w:val="24"/>
        </w:rPr>
        <w:t>El Volumen de Negocio</w:t>
      </w:r>
      <w:r w:rsidRPr="00CD5596">
        <w:rPr>
          <w:rFonts w:ascii="Arial" w:eastAsia="Times New Roman" w:hAnsi="Arial" w:cs="Arial"/>
          <w:szCs w:val="24"/>
        </w:rPr>
        <w:t xml:space="preserve"> del Grupo financiero se ha situado en los </w:t>
      </w:r>
      <w:r w:rsidRPr="00CD5596">
        <w:rPr>
          <w:rFonts w:ascii="Arial" w:eastAsia="Times New Roman" w:hAnsi="Arial" w:cs="Arial"/>
          <w:b/>
          <w:szCs w:val="24"/>
        </w:rPr>
        <w:t>109.69</w:t>
      </w:r>
      <w:r w:rsidR="00184A13" w:rsidRPr="000A723D">
        <w:rPr>
          <w:rFonts w:ascii="Arial" w:eastAsia="Times New Roman" w:hAnsi="Arial" w:cs="Arial"/>
          <w:b/>
          <w:szCs w:val="24"/>
        </w:rPr>
        <w:t>4</w:t>
      </w:r>
      <w:r w:rsidRPr="00CD5596">
        <w:rPr>
          <w:rFonts w:ascii="Arial" w:eastAsia="Times New Roman" w:hAnsi="Arial" w:cs="Arial"/>
          <w:b/>
          <w:szCs w:val="24"/>
        </w:rPr>
        <w:t xml:space="preserve"> millones</w:t>
      </w:r>
      <w:r w:rsidRPr="00CD5596">
        <w:rPr>
          <w:rFonts w:ascii="Arial" w:eastAsia="Times New Roman" w:hAnsi="Arial" w:cs="Arial"/>
          <w:szCs w:val="24"/>
        </w:rPr>
        <w:t xml:space="preserve"> de euros, lo que supone un crecimiento del 0,4% durante los </w:t>
      </w:r>
      <w:r>
        <w:rPr>
          <w:rFonts w:ascii="Arial" w:eastAsia="Times New Roman" w:hAnsi="Arial" w:cs="Arial"/>
          <w:szCs w:val="24"/>
        </w:rPr>
        <w:t xml:space="preserve">nueve </w:t>
      </w:r>
      <w:r w:rsidRPr="00CD5596">
        <w:rPr>
          <w:rFonts w:ascii="Arial" w:eastAsia="Times New Roman" w:hAnsi="Arial" w:cs="Arial"/>
          <w:szCs w:val="24"/>
        </w:rPr>
        <w:t>primeros meses del año.</w:t>
      </w:r>
      <w:r w:rsidR="00184A13">
        <w:rPr>
          <w:rFonts w:ascii="Arial" w:eastAsia="Times New Roman" w:hAnsi="Arial" w:cs="Arial"/>
          <w:szCs w:val="24"/>
        </w:rPr>
        <w:t xml:space="preserve"> </w:t>
      </w:r>
    </w:p>
    <w:p w:rsidR="00CD5596" w:rsidRPr="00CD5596" w:rsidRDefault="00CD5596" w:rsidP="00CD5596">
      <w:pPr>
        <w:spacing w:line="276" w:lineRule="auto"/>
        <w:jc w:val="both"/>
        <w:rPr>
          <w:rFonts w:ascii="Arial" w:eastAsia="Times New Roman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 xml:space="preserve">Pese a que los saldos, principalmente los de la red minorista, han estado condicionados por el fuerte impacto negativo de las </w:t>
      </w:r>
      <w:r w:rsidRPr="008A0E59">
        <w:rPr>
          <w:rFonts w:ascii="Arial" w:hAnsi="Arial" w:cs="Arial"/>
          <w:szCs w:val="24"/>
        </w:rPr>
        <w:t>valoraciones</w:t>
      </w:r>
      <w:r w:rsidR="00B47CE0" w:rsidRPr="008A0E59">
        <w:rPr>
          <w:rFonts w:ascii="Arial" w:hAnsi="Arial" w:cs="Arial"/>
          <w:szCs w:val="24"/>
        </w:rPr>
        <w:t xml:space="preserve"> en el trimestre</w:t>
      </w:r>
      <w:r w:rsidRPr="008A0E59">
        <w:rPr>
          <w:rFonts w:ascii="Arial" w:hAnsi="Arial" w:cs="Arial"/>
          <w:szCs w:val="24"/>
        </w:rPr>
        <w:t>,</w:t>
      </w:r>
      <w:r w:rsidRPr="00CD5596">
        <w:rPr>
          <w:rFonts w:ascii="Arial" w:hAnsi="Arial" w:cs="Arial"/>
          <w:szCs w:val="24"/>
        </w:rPr>
        <w:t xml:space="preserve"> los </w:t>
      </w:r>
      <w:r w:rsidRPr="00CD5596">
        <w:rPr>
          <w:rFonts w:ascii="Arial" w:hAnsi="Arial" w:cs="Arial"/>
          <w:b/>
          <w:szCs w:val="24"/>
        </w:rPr>
        <w:t>Recursos de Clientes</w:t>
      </w:r>
      <w:r w:rsidRPr="00CD5596">
        <w:rPr>
          <w:rFonts w:ascii="Arial" w:hAnsi="Arial" w:cs="Arial"/>
          <w:szCs w:val="24"/>
        </w:rPr>
        <w:t xml:space="preserve"> gestionados por las redes de negocio de Kutxabank han tenido un comportamiento positivo, al superar los 52.141 millones de euros, lo que supone un </w:t>
      </w:r>
      <w:r w:rsidRPr="00CD5596">
        <w:rPr>
          <w:rFonts w:ascii="Arial" w:hAnsi="Arial" w:cs="Arial"/>
          <w:b/>
          <w:szCs w:val="24"/>
        </w:rPr>
        <w:t>incremento del 1,8%</w:t>
      </w:r>
      <w:r w:rsidRPr="00CD5596">
        <w:rPr>
          <w:rFonts w:ascii="Arial" w:hAnsi="Arial" w:cs="Arial"/>
          <w:szCs w:val="24"/>
        </w:rPr>
        <w:t xml:space="preserve"> con respecto a septiembre de 2014. El principal motor del incremento han sido las redes minoristas que, al contrario que hace un año, han registrado una evolución positiva, en este caso del 3,2%.</w:t>
      </w:r>
    </w:p>
    <w:p w:rsidR="00CD5596" w:rsidRPr="00CD5596" w:rsidRDefault="00A557F6" w:rsidP="00CD5596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189230</wp:posOffset>
                </wp:positionV>
                <wp:extent cx="6122670" cy="508000"/>
                <wp:effectExtent l="17145" t="11430" r="6985" b="139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DE" w:rsidRDefault="00B47CE0" w:rsidP="00BC337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8A0E59">
                              <w:rPr>
                                <w:b/>
                                <w:color w:val="C00000"/>
                              </w:rPr>
                              <w:t>El Grupo Kutxabank s</w:t>
                            </w:r>
                            <w:r w:rsidR="00B90BDE" w:rsidRPr="008A0E59">
                              <w:rPr>
                                <w:b/>
                                <w:color w:val="C00000"/>
                              </w:rPr>
                              <w:t>e ha situado a la cabeza en la captación neta de fondos de inversión, por</w:t>
                            </w:r>
                            <w:r w:rsidR="00B90BDE" w:rsidRPr="00B47CE0">
                              <w:rPr>
                                <w:b/>
                                <w:color w:val="C00000"/>
                              </w:rPr>
                              <w:t xml:space="preserve"> delante  de las mayores gestoras del mercado</w:t>
                            </w:r>
                          </w:p>
                          <w:p w:rsidR="00B90BDE" w:rsidRPr="00EE4474" w:rsidRDefault="00B90BDE" w:rsidP="00CD5596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.35pt;margin-top:14.9pt;width:482.1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" strokecolor="#c00000" strokeweight="1.5pt">
                <v:textbox>
                  <w:txbxContent>
                    <w:p w:rsidR="00B90BDE" w:rsidRDefault="00B47CE0" w:rsidP="00BC3375">
                      <w:pPr>
                        <w:rPr>
                          <w:b/>
                          <w:color w:val="C00000"/>
                        </w:rPr>
                      </w:pPr>
                      <w:r w:rsidRPr="008A0E59">
                        <w:rPr>
                          <w:b/>
                          <w:color w:val="C00000"/>
                        </w:rPr>
                        <w:t>El Grupo Kutxabank s</w:t>
                      </w:r>
                      <w:r w:rsidR="00B90BDE" w:rsidRPr="008A0E59">
                        <w:rPr>
                          <w:b/>
                          <w:color w:val="C00000"/>
                        </w:rPr>
                        <w:t>e ha situado a la cabeza en la captación neta de fondos de inversión, por</w:t>
                      </w:r>
                      <w:r w:rsidR="00B90BDE" w:rsidRPr="00B47CE0">
                        <w:rPr>
                          <w:b/>
                          <w:color w:val="C00000"/>
                        </w:rPr>
                        <w:t xml:space="preserve"> delante  de las mayores gestoras del mercado</w:t>
                      </w:r>
                    </w:p>
                    <w:p w:rsidR="00B90BDE" w:rsidRPr="00EE4474" w:rsidRDefault="00B90BDE" w:rsidP="00CD5596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 xml:space="preserve">El total de los </w:t>
      </w:r>
      <w:r w:rsidRPr="00CD5596">
        <w:rPr>
          <w:rFonts w:ascii="Arial" w:hAnsi="Arial" w:cs="Arial"/>
          <w:b/>
          <w:szCs w:val="24"/>
        </w:rPr>
        <w:t>recursos gestionados</w:t>
      </w:r>
      <w:r w:rsidRPr="00CD5596">
        <w:rPr>
          <w:rFonts w:ascii="Arial" w:hAnsi="Arial" w:cs="Arial"/>
          <w:szCs w:val="24"/>
        </w:rPr>
        <w:t xml:space="preserve"> por </w:t>
      </w:r>
      <w:r w:rsidR="00184A13" w:rsidRPr="000A723D">
        <w:rPr>
          <w:rFonts w:ascii="Arial" w:hAnsi="Arial" w:cs="Arial"/>
          <w:szCs w:val="24"/>
        </w:rPr>
        <w:t>el Grupo</w:t>
      </w:r>
      <w:r w:rsidRPr="00184A13">
        <w:rPr>
          <w:rFonts w:ascii="Arial" w:hAnsi="Arial" w:cs="Arial"/>
          <w:szCs w:val="24"/>
        </w:rPr>
        <w:t xml:space="preserve"> </w:t>
      </w:r>
      <w:r w:rsidRPr="00CD5596">
        <w:rPr>
          <w:rFonts w:ascii="Arial" w:hAnsi="Arial" w:cs="Arial"/>
          <w:szCs w:val="24"/>
        </w:rPr>
        <w:t xml:space="preserve">ha alcanzado los </w:t>
      </w:r>
      <w:r w:rsidRPr="00CD5596">
        <w:rPr>
          <w:rFonts w:ascii="Arial" w:hAnsi="Arial" w:cs="Arial"/>
          <w:b/>
          <w:szCs w:val="24"/>
        </w:rPr>
        <w:t>65.379 millones</w:t>
      </w:r>
      <w:r w:rsidRPr="00CD5596">
        <w:rPr>
          <w:rFonts w:ascii="Arial" w:hAnsi="Arial" w:cs="Arial"/>
          <w:szCs w:val="24"/>
        </w:rPr>
        <w:t xml:space="preserve"> de euros, un 0,6% más que en el mismo periodo de 2015. </w:t>
      </w: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337FD9" w:rsidRDefault="00CD5596" w:rsidP="00337FD9">
      <w:pPr>
        <w:spacing w:line="276" w:lineRule="auto"/>
        <w:jc w:val="both"/>
      </w:pPr>
      <w:r>
        <w:rPr>
          <w:rFonts w:ascii="Arial" w:hAnsi="Arial" w:cs="Arial"/>
          <w:szCs w:val="24"/>
        </w:rPr>
        <w:t>L</w:t>
      </w:r>
      <w:r w:rsidRPr="00CD5596">
        <w:rPr>
          <w:rFonts w:ascii="Arial" w:hAnsi="Arial" w:cs="Arial"/>
          <w:szCs w:val="24"/>
        </w:rPr>
        <w:t xml:space="preserve">os </w:t>
      </w:r>
      <w:r w:rsidRPr="00CD5596">
        <w:rPr>
          <w:rFonts w:ascii="Arial" w:hAnsi="Arial" w:cs="Arial"/>
          <w:b/>
          <w:szCs w:val="24"/>
        </w:rPr>
        <w:t>Fondos de Inversión</w:t>
      </w:r>
      <w:r w:rsidRPr="00CD5596">
        <w:rPr>
          <w:rFonts w:ascii="Arial" w:hAnsi="Arial" w:cs="Arial"/>
          <w:szCs w:val="24"/>
        </w:rPr>
        <w:t xml:space="preserve"> han </w:t>
      </w:r>
      <w:r>
        <w:rPr>
          <w:rFonts w:ascii="Arial" w:hAnsi="Arial" w:cs="Arial"/>
          <w:szCs w:val="24"/>
        </w:rPr>
        <w:t xml:space="preserve">vuelto a </w:t>
      </w:r>
      <w:r w:rsidRPr="00CD5596">
        <w:rPr>
          <w:rFonts w:ascii="Arial" w:hAnsi="Arial" w:cs="Arial"/>
          <w:szCs w:val="24"/>
        </w:rPr>
        <w:t>crec</w:t>
      </w:r>
      <w:r>
        <w:rPr>
          <w:rFonts w:ascii="Arial" w:hAnsi="Arial" w:cs="Arial"/>
          <w:szCs w:val="24"/>
        </w:rPr>
        <w:t>er en estos nueve meses</w:t>
      </w:r>
      <w:r w:rsidRPr="00CD5596">
        <w:rPr>
          <w:rFonts w:ascii="Arial" w:hAnsi="Arial" w:cs="Arial"/>
          <w:szCs w:val="24"/>
        </w:rPr>
        <w:t xml:space="preserve"> de forma muy notable, </w:t>
      </w:r>
      <w:r w:rsidRPr="00CD5596">
        <w:rPr>
          <w:rFonts w:ascii="Arial" w:hAnsi="Arial" w:cs="Arial"/>
          <w:b/>
          <w:szCs w:val="24"/>
        </w:rPr>
        <w:t>un 17,6%,</w:t>
      </w:r>
      <w:r w:rsidRPr="00CD5596">
        <w:rPr>
          <w:rFonts w:ascii="Arial" w:hAnsi="Arial" w:cs="Arial"/>
          <w:szCs w:val="24"/>
        </w:rPr>
        <w:t xml:space="preserve"> y cerca del </w:t>
      </w:r>
      <w:r w:rsidRPr="00CD5596">
        <w:rPr>
          <w:rFonts w:ascii="Arial" w:hAnsi="Arial" w:cs="Arial"/>
          <w:b/>
          <w:szCs w:val="24"/>
        </w:rPr>
        <w:t>1%</w:t>
      </w:r>
      <w:r w:rsidRPr="00CD5596">
        <w:rPr>
          <w:rFonts w:ascii="Arial" w:hAnsi="Arial" w:cs="Arial"/>
          <w:szCs w:val="24"/>
        </w:rPr>
        <w:t xml:space="preserve"> los </w:t>
      </w:r>
      <w:r w:rsidRPr="00CD5596">
        <w:rPr>
          <w:rFonts w:ascii="Arial" w:hAnsi="Arial" w:cs="Arial"/>
          <w:b/>
          <w:szCs w:val="24"/>
        </w:rPr>
        <w:t xml:space="preserve">productos de </w:t>
      </w:r>
      <w:r w:rsidRPr="000A723D">
        <w:rPr>
          <w:rFonts w:ascii="Arial" w:hAnsi="Arial" w:cs="Arial"/>
          <w:b/>
          <w:szCs w:val="24"/>
        </w:rPr>
        <w:t>previsión</w:t>
      </w:r>
      <w:r w:rsidR="00184A13" w:rsidRPr="000A723D">
        <w:rPr>
          <w:rFonts w:ascii="Arial" w:hAnsi="Arial" w:cs="Arial"/>
          <w:b/>
          <w:szCs w:val="24"/>
        </w:rPr>
        <w:t xml:space="preserve"> </w:t>
      </w:r>
      <w:r w:rsidR="00184A13" w:rsidRPr="000A723D">
        <w:rPr>
          <w:rFonts w:ascii="Arial" w:hAnsi="Arial" w:cs="Arial"/>
          <w:szCs w:val="24"/>
        </w:rPr>
        <w:t>en las redes de negocio</w:t>
      </w:r>
      <w:r w:rsidRPr="00CD5596">
        <w:rPr>
          <w:rFonts w:ascii="Arial" w:hAnsi="Arial" w:cs="Arial"/>
          <w:b/>
          <w:szCs w:val="24"/>
        </w:rPr>
        <w:t>.</w:t>
      </w:r>
      <w:r w:rsidRPr="00CD5596">
        <w:rPr>
          <w:rFonts w:ascii="Arial" w:hAnsi="Arial" w:cs="Arial"/>
          <w:szCs w:val="24"/>
        </w:rPr>
        <w:t xml:space="preserve"> En un trimestre en el que la mayoría de gestoras de fondos han registrado reembolsos a causa de los vaivenes bursátiles y </w:t>
      </w:r>
      <w:r>
        <w:rPr>
          <w:rFonts w:ascii="Arial" w:hAnsi="Arial" w:cs="Arial"/>
          <w:szCs w:val="24"/>
        </w:rPr>
        <w:t xml:space="preserve">de </w:t>
      </w:r>
      <w:r w:rsidRPr="00CD5596">
        <w:rPr>
          <w:rFonts w:ascii="Arial" w:hAnsi="Arial" w:cs="Arial"/>
          <w:szCs w:val="24"/>
        </w:rPr>
        <w:t xml:space="preserve">la fuerte volatilidad, la buena labor en la gestión de fondos </w:t>
      </w:r>
      <w:r>
        <w:rPr>
          <w:rFonts w:ascii="Arial" w:hAnsi="Arial" w:cs="Arial"/>
          <w:szCs w:val="24"/>
        </w:rPr>
        <w:t xml:space="preserve">por parte del Grupo </w:t>
      </w:r>
      <w:r w:rsidRPr="00CD5596">
        <w:rPr>
          <w:rFonts w:ascii="Arial" w:hAnsi="Arial" w:cs="Arial"/>
          <w:szCs w:val="24"/>
        </w:rPr>
        <w:t xml:space="preserve">ha mantenido </w:t>
      </w:r>
      <w:r>
        <w:rPr>
          <w:rFonts w:ascii="Arial" w:hAnsi="Arial" w:cs="Arial"/>
          <w:szCs w:val="24"/>
        </w:rPr>
        <w:t xml:space="preserve">a </w:t>
      </w:r>
      <w:r w:rsidRPr="00CD52D3">
        <w:rPr>
          <w:rFonts w:ascii="Arial" w:hAnsi="Arial" w:cs="Arial"/>
          <w:b/>
          <w:szCs w:val="24"/>
        </w:rPr>
        <w:t>Kutxabank Gestión</w:t>
      </w:r>
      <w:r>
        <w:rPr>
          <w:rFonts w:ascii="Arial" w:hAnsi="Arial" w:cs="Arial"/>
          <w:szCs w:val="24"/>
        </w:rPr>
        <w:t xml:space="preserve"> </w:t>
      </w:r>
      <w:r w:rsidRPr="00CD5596">
        <w:rPr>
          <w:rFonts w:ascii="Arial" w:hAnsi="Arial" w:cs="Arial"/>
          <w:szCs w:val="24"/>
        </w:rPr>
        <w:t xml:space="preserve">como la gestora que ha obtenido mayores captaciones netas. </w:t>
      </w:r>
      <w:r w:rsidR="00337FD9">
        <w:rPr>
          <w:rFonts w:ascii="Arial" w:hAnsi="Arial" w:cs="Arial"/>
        </w:rPr>
        <w:t>Reflejo de la confianza que genera su gestión</w:t>
      </w:r>
      <w:r w:rsidR="00337FD9" w:rsidRPr="00337FD9">
        <w:rPr>
          <w:rFonts w:ascii="Arial" w:hAnsi="Arial" w:cs="Arial"/>
          <w:szCs w:val="24"/>
        </w:rPr>
        <w:t>, ha concluido un mes tan complicado como septiembre con suscripciones netas por valor de 146 millones de euros, situándose</w:t>
      </w:r>
      <w:r w:rsidR="00337FD9">
        <w:rPr>
          <w:rFonts w:ascii="Arial" w:hAnsi="Arial" w:cs="Arial"/>
        </w:rPr>
        <w:t xml:space="preserve"> como la gestora del Estado con mayores suscripciones.</w:t>
      </w:r>
    </w:p>
    <w:p w:rsidR="00337FD9" w:rsidRPr="00CD5596" w:rsidRDefault="00337FD9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 xml:space="preserve">También ha sido destacable la evolución positiva </w:t>
      </w:r>
      <w:r w:rsidR="00184A13" w:rsidRPr="000A723D">
        <w:rPr>
          <w:rFonts w:ascii="Arial" w:hAnsi="Arial" w:cs="Arial"/>
          <w:szCs w:val="24"/>
        </w:rPr>
        <w:t>en las redes de negocio</w:t>
      </w:r>
      <w:r w:rsidR="00184A13">
        <w:rPr>
          <w:rFonts w:ascii="Arial" w:hAnsi="Arial" w:cs="Arial"/>
          <w:szCs w:val="24"/>
        </w:rPr>
        <w:t xml:space="preserve"> </w:t>
      </w:r>
      <w:r w:rsidRPr="00CD5596">
        <w:rPr>
          <w:rFonts w:ascii="Arial" w:hAnsi="Arial" w:cs="Arial"/>
          <w:szCs w:val="24"/>
        </w:rPr>
        <w:t xml:space="preserve">del 6,1% de los saldos de los </w:t>
      </w:r>
      <w:r w:rsidR="00CD52D3">
        <w:rPr>
          <w:rFonts w:ascii="Arial" w:hAnsi="Arial" w:cs="Arial"/>
          <w:b/>
          <w:szCs w:val="24"/>
        </w:rPr>
        <w:t>depósitos a la vista</w:t>
      </w:r>
      <w:r w:rsidR="00CD52D3" w:rsidRPr="00CD52D3">
        <w:rPr>
          <w:rFonts w:ascii="Arial" w:hAnsi="Arial" w:cs="Arial"/>
          <w:szCs w:val="24"/>
        </w:rPr>
        <w:t>,</w:t>
      </w:r>
      <w:r w:rsidR="00CD52D3">
        <w:rPr>
          <w:rFonts w:ascii="Arial" w:hAnsi="Arial" w:cs="Arial"/>
          <w:b/>
          <w:szCs w:val="24"/>
        </w:rPr>
        <w:t xml:space="preserve"> </w:t>
      </w:r>
      <w:r w:rsidRPr="00CD5596">
        <w:rPr>
          <w:rFonts w:ascii="Arial" w:hAnsi="Arial" w:cs="Arial"/>
          <w:szCs w:val="24"/>
        </w:rPr>
        <w:t xml:space="preserve">lo que  permite mantener estable la cifra de los Recursos en Balance. </w: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  <w:highlight w:val="red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  <w:highlight w:val="red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FFFFFF"/>
          <w:sz w:val="28"/>
          <w:szCs w:val="28"/>
          <w:highlight w:val="red"/>
          <w:lang w:val="es-ES"/>
        </w:rPr>
      </w:pPr>
      <w:r w:rsidRPr="00CD5596"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 xml:space="preserve">La concesión de nuevas hipotecas supera la media del mercado </w:t>
      </w:r>
      <w:r w:rsidRPr="00CD5596">
        <w:rPr>
          <w:rFonts w:ascii="Arial" w:hAnsi="Arial" w:cs="Arial"/>
          <w:b/>
          <w:color w:val="FFFFFF"/>
          <w:sz w:val="28"/>
          <w:szCs w:val="28"/>
          <w:highlight w:val="red"/>
          <w:lang w:val="es-ES"/>
        </w:rPr>
        <w:t xml:space="preserve"> </w: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A0027" w:rsidRDefault="00F272D4" w:rsidP="00F272D4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8A0E59">
        <w:rPr>
          <w:rFonts w:ascii="Arial" w:hAnsi="Arial" w:cs="Arial"/>
          <w:szCs w:val="24"/>
        </w:rPr>
        <w:t>A</w:t>
      </w:r>
      <w:r w:rsidR="00B47CE0" w:rsidRPr="008A0E59">
        <w:rPr>
          <w:rFonts w:ascii="Arial" w:hAnsi="Arial" w:cs="Arial"/>
          <w:szCs w:val="24"/>
        </w:rPr>
        <w:t xml:space="preserve">unque la evolución interanual del crédito ha experimentado una caída del 2,2%, su ritmo se ha desacelerado. Así, </w:t>
      </w:r>
      <w:r w:rsidRPr="008A0E59">
        <w:rPr>
          <w:rFonts w:ascii="Arial" w:hAnsi="Arial" w:cs="Arial"/>
          <w:szCs w:val="24"/>
        </w:rPr>
        <w:t xml:space="preserve">durante todo el año 2015, se van confirmando los síntomas de recuperación de la </w:t>
      </w:r>
      <w:r w:rsidRPr="008A0E59">
        <w:rPr>
          <w:rFonts w:ascii="Arial" w:hAnsi="Arial" w:cs="Arial"/>
          <w:b/>
          <w:szCs w:val="24"/>
        </w:rPr>
        <w:t xml:space="preserve">Inversión Crediticia </w:t>
      </w:r>
      <w:r w:rsidRPr="008A0E59">
        <w:rPr>
          <w:rFonts w:ascii="Arial" w:hAnsi="Arial" w:cs="Arial"/>
          <w:szCs w:val="24"/>
        </w:rPr>
        <w:t xml:space="preserve">que crece un 0,5% con respecto a diciembre de 2014, y se ha situado en los </w:t>
      </w:r>
      <w:r w:rsidR="00B47CE0" w:rsidRPr="008A0E59">
        <w:rPr>
          <w:rFonts w:ascii="Arial" w:hAnsi="Arial" w:cs="Arial"/>
          <w:b/>
          <w:szCs w:val="24"/>
        </w:rPr>
        <w:t>45.933 millones de euros.</w: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>La evolución positiva de la inversión crediticia se ha apoyado en el fuerte impulso que ha supuesto la contratación de</w:t>
      </w:r>
      <w:r w:rsidRPr="00CD5596">
        <w:rPr>
          <w:rFonts w:ascii="Arial" w:hAnsi="Arial" w:cs="Arial"/>
          <w:b/>
          <w:szCs w:val="24"/>
        </w:rPr>
        <w:t xml:space="preserve"> nuevos préstamos hipotecarios</w:t>
      </w:r>
      <w:r w:rsidRPr="00CD5596">
        <w:rPr>
          <w:rFonts w:ascii="Arial" w:hAnsi="Arial" w:cs="Arial"/>
          <w:szCs w:val="24"/>
        </w:rPr>
        <w:t xml:space="preserve">. </w: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</w:pPr>
      <w:r w:rsidRPr="00CD5596">
        <w:rPr>
          <w:rFonts w:ascii="Arial" w:hAnsi="Arial" w:cs="Arial"/>
          <w:szCs w:val="24"/>
        </w:rPr>
        <w:t>La buena acogida que están obteniendo los préstamos</w:t>
      </w:r>
      <w:r w:rsidRPr="00CD5596">
        <w:rPr>
          <w:rFonts w:ascii="Arial" w:hAnsi="Arial" w:cs="Arial"/>
          <w:b/>
          <w:szCs w:val="24"/>
        </w:rPr>
        <w:t xml:space="preserve"> </w:t>
      </w:r>
      <w:r w:rsidRPr="00CD5596">
        <w:rPr>
          <w:rFonts w:ascii="Arial" w:hAnsi="Arial" w:cs="Arial"/>
          <w:szCs w:val="24"/>
        </w:rPr>
        <w:t>hipotecarios de</w:t>
      </w:r>
      <w:r w:rsidRPr="00CD5596">
        <w:rPr>
          <w:rFonts w:ascii="Arial" w:hAnsi="Arial" w:cs="Arial"/>
          <w:b/>
          <w:szCs w:val="24"/>
        </w:rPr>
        <w:t xml:space="preserve"> referencia del mercado</w:t>
      </w:r>
      <w:r w:rsidRPr="00CD5596">
        <w:rPr>
          <w:rFonts w:ascii="Arial" w:hAnsi="Arial" w:cs="Arial"/>
          <w:szCs w:val="24"/>
        </w:rPr>
        <w:t xml:space="preserve"> –</w:t>
      </w:r>
      <w:r w:rsidRPr="00CD5596">
        <w:rPr>
          <w:rFonts w:ascii="Arial" w:eastAsia="Times New Roman" w:hAnsi="Arial" w:cs="Arial"/>
          <w:szCs w:val="24"/>
        </w:rPr>
        <w:t>Euribor +1% en el caso del tipo variable y desde el 2,50% en una hipoteca a tipo fijo</w:t>
      </w:r>
      <w:r w:rsidRPr="00CD5596">
        <w:rPr>
          <w:rFonts w:ascii="Arial" w:hAnsi="Arial" w:cs="Arial"/>
          <w:szCs w:val="24"/>
        </w:rPr>
        <w:t xml:space="preserve">– se refleja en los cerca de 1.000 millones de euros que se han destinado durante los primeros nueve meses a la financiación para la compra de viviendas. De esta forma, el </w:t>
      </w:r>
      <w:r w:rsidRPr="00CD5596">
        <w:rPr>
          <w:rFonts w:ascii="Arial" w:hAnsi="Arial" w:cs="Arial"/>
          <w:b/>
          <w:szCs w:val="24"/>
        </w:rPr>
        <w:t xml:space="preserve">crecimiento </w:t>
      </w:r>
      <w:r w:rsidRPr="00CD5596">
        <w:rPr>
          <w:rFonts w:ascii="Arial" w:hAnsi="Arial" w:cs="Arial"/>
          <w:szCs w:val="24"/>
        </w:rPr>
        <w:t xml:space="preserve">anual de las nuevas hipotecas sobre viviendas formalizadas por el Grupo se ha situado en el </w:t>
      </w:r>
      <w:r w:rsidRPr="00CD5596">
        <w:rPr>
          <w:rFonts w:ascii="Arial" w:hAnsi="Arial" w:cs="Arial"/>
          <w:b/>
          <w:szCs w:val="24"/>
        </w:rPr>
        <w:t xml:space="preserve">43,6%, </w:t>
      </w:r>
      <w:r w:rsidRPr="00CD5596">
        <w:rPr>
          <w:rFonts w:ascii="Arial" w:hAnsi="Arial" w:cs="Arial"/>
          <w:szCs w:val="24"/>
        </w:rPr>
        <w:t xml:space="preserve">y ha alcanzado el </w:t>
      </w:r>
      <w:r w:rsidRPr="00CD5596">
        <w:rPr>
          <w:rFonts w:ascii="Arial" w:hAnsi="Arial" w:cs="Arial"/>
          <w:b/>
          <w:szCs w:val="24"/>
        </w:rPr>
        <w:t>53,5% en el caso de Kutxabank</w:t>
      </w:r>
      <w:r w:rsidRPr="00CD5596">
        <w:rPr>
          <w:rFonts w:ascii="Arial" w:hAnsi="Arial" w:cs="Arial"/>
          <w:szCs w:val="24"/>
        </w:rPr>
        <w:t>. Estos incrementos amplían el liderazgo que mantiene la entidad en sus territorios de origen, con una cuota de mercado que se sitúa por encima del 33%.</w:t>
      </w:r>
      <w:r w:rsidRPr="00CD5596">
        <w:rPr>
          <w:rFonts w:ascii="Arial" w:hAnsi="Arial" w:cs="Arial"/>
        </w:rPr>
        <w:t xml:space="preserve"> </w: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A557F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122670" cy="563880"/>
                <wp:effectExtent l="12700" t="18415" r="11430" b="1460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BDE" w:rsidRPr="00EE4474" w:rsidRDefault="00B90BDE" w:rsidP="00CD5596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La concesión de préstamos personales para el consumo ha registrado un relevante incremento del 14,7% en los primeros nueve meses de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0;margin-top:12.45pt;width:482.1pt;height:4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" strokecolor="#c00000" strokeweight="1.5pt">
                <v:textbox>
                  <w:txbxContent>
                    <w:p w:rsidR="00B90BDE" w:rsidRPr="00EE4474" w:rsidRDefault="00B90BDE" w:rsidP="00CD5596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La concesión de préstamos personales para el consumo ha registrado un relevante incremento del 14,7% en los primeros nueve meses de 2015</w:t>
                      </w:r>
                    </w:p>
                  </w:txbxContent>
                </v:textbox>
              </v:shape>
            </w:pict>
          </mc:Fallback>
        </mc:AlternateContent>
      </w: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F272D4" w:rsidRPr="00351EA0" w:rsidRDefault="00F272D4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351EA0">
        <w:rPr>
          <w:rFonts w:ascii="Arial" w:hAnsi="Arial" w:cs="Arial"/>
          <w:szCs w:val="24"/>
        </w:rPr>
        <w:t xml:space="preserve">Kutxabank ha puesto en marcha a lo largo de 2015 numerosas </w:t>
      </w:r>
      <w:r w:rsidRPr="00351EA0">
        <w:rPr>
          <w:rFonts w:ascii="Arial" w:hAnsi="Arial" w:cs="Arial"/>
          <w:b/>
          <w:szCs w:val="24"/>
        </w:rPr>
        <w:t xml:space="preserve">campañas para promover las operaciones de financiación al consumo, </w:t>
      </w:r>
      <w:r w:rsidRPr="00351EA0">
        <w:rPr>
          <w:rFonts w:ascii="Arial" w:hAnsi="Arial" w:cs="Arial"/>
          <w:szCs w:val="24"/>
        </w:rPr>
        <w:t xml:space="preserve">desde una óptica de concesión responsable de crédito, comercializando productos financieros para facilitar, por ejemplo, la adquisición de coches o realizar reformas del hogar. </w:t>
      </w:r>
    </w:p>
    <w:p w:rsidR="00CD5596" w:rsidRPr="00351EA0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351EA0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351EA0">
        <w:rPr>
          <w:rFonts w:ascii="Arial" w:hAnsi="Arial" w:cs="Arial"/>
          <w:szCs w:val="24"/>
        </w:rPr>
        <w:t xml:space="preserve">Como consecuencia de todo ello, la concesión de </w:t>
      </w:r>
      <w:r w:rsidRPr="00351EA0">
        <w:rPr>
          <w:rFonts w:ascii="Arial" w:hAnsi="Arial" w:cs="Arial"/>
          <w:b/>
          <w:szCs w:val="24"/>
        </w:rPr>
        <w:t>préstamos personales</w:t>
      </w:r>
      <w:r w:rsidRPr="00351EA0">
        <w:rPr>
          <w:rFonts w:ascii="Arial" w:hAnsi="Arial" w:cs="Arial"/>
          <w:szCs w:val="24"/>
        </w:rPr>
        <w:t xml:space="preserve"> para el consumo ha aumentado un relevante </w:t>
      </w:r>
      <w:r w:rsidRPr="00351EA0">
        <w:rPr>
          <w:rFonts w:ascii="Arial" w:hAnsi="Arial" w:cs="Arial"/>
          <w:b/>
          <w:szCs w:val="24"/>
        </w:rPr>
        <w:t>14,7%</w:t>
      </w:r>
      <w:r w:rsidRPr="00351EA0">
        <w:rPr>
          <w:rFonts w:ascii="Arial" w:hAnsi="Arial" w:cs="Arial"/>
          <w:szCs w:val="24"/>
        </w:rPr>
        <w:t xml:space="preserve">. </w:t>
      </w:r>
    </w:p>
    <w:p w:rsidR="00CD5596" w:rsidRPr="00351EA0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4A51EA" w:rsidRPr="00351EA0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8A0E59">
        <w:rPr>
          <w:rFonts w:ascii="Arial" w:hAnsi="Arial" w:cs="Arial"/>
          <w:szCs w:val="24"/>
        </w:rPr>
        <w:t xml:space="preserve">La </w:t>
      </w:r>
      <w:r w:rsidRPr="00512A11">
        <w:rPr>
          <w:rFonts w:ascii="Arial" w:hAnsi="Arial" w:cs="Arial"/>
          <w:b/>
          <w:szCs w:val="24"/>
        </w:rPr>
        <w:t>financiación destinada a P</w:t>
      </w:r>
      <w:r w:rsidR="00CD52D3" w:rsidRPr="00512A11">
        <w:rPr>
          <w:rFonts w:ascii="Arial" w:hAnsi="Arial" w:cs="Arial"/>
          <w:b/>
          <w:szCs w:val="24"/>
        </w:rPr>
        <w:t>yme</w:t>
      </w:r>
      <w:r w:rsidRPr="00512A11">
        <w:rPr>
          <w:rFonts w:ascii="Arial" w:hAnsi="Arial" w:cs="Arial"/>
          <w:b/>
          <w:szCs w:val="24"/>
        </w:rPr>
        <w:t>s</w:t>
      </w:r>
      <w:r w:rsidRPr="008A0E59">
        <w:rPr>
          <w:rFonts w:ascii="Arial" w:hAnsi="Arial" w:cs="Arial"/>
          <w:szCs w:val="24"/>
        </w:rPr>
        <w:t xml:space="preserve"> arroja</w:t>
      </w:r>
      <w:r w:rsidR="00351EA0" w:rsidRPr="008A0E59">
        <w:rPr>
          <w:rFonts w:ascii="Arial" w:hAnsi="Arial" w:cs="Arial"/>
          <w:szCs w:val="24"/>
        </w:rPr>
        <w:t xml:space="preserve"> también</w:t>
      </w:r>
      <w:r w:rsidRPr="008A0E59">
        <w:rPr>
          <w:rFonts w:ascii="Arial" w:hAnsi="Arial" w:cs="Arial"/>
          <w:szCs w:val="24"/>
        </w:rPr>
        <w:t xml:space="preserve"> datos</w:t>
      </w:r>
      <w:r w:rsidRPr="00351EA0">
        <w:rPr>
          <w:rFonts w:ascii="Arial" w:hAnsi="Arial" w:cs="Arial"/>
          <w:szCs w:val="24"/>
        </w:rPr>
        <w:t xml:space="preserve"> </w:t>
      </w:r>
      <w:r w:rsidR="00B90BDE" w:rsidRPr="00351EA0">
        <w:rPr>
          <w:rFonts w:ascii="Arial" w:hAnsi="Arial" w:cs="Arial"/>
          <w:szCs w:val="24"/>
        </w:rPr>
        <w:t xml:space="preserve">muy esperanzadores, como reflejo del cambio de tendencia en el ámbito económico y empresarial. Kutxabank ha respondido a la demanda creciente del tejido para operaciones en inversiones productivas, tanto en inmovilizado como en elementos directamente relacionados con </w:t>
      </w:r>
      <w:r w:rsidR="00785760" w:rsidRPr="00351EA0">
        <w:rPr>
          <w:rFonts w:ascii="Arial" w:hAnsi="Arial" w:cs="Arial"/>
          <w:szCs w:val="24"/>
        </w:rPr>
        <w:t>la producción</w:t>
      </w:r>
      <w:r w:rsidR="00B90BDE" w:rsidRPr="00351EA0">
        <w:rPr>
          <w:rFonts w:ascii="Arial" w:hAnsi="Arial" w:cs="Arial"/>
          <w:szCs w:val="24"/>
        </w:rPr>
        <w:t xml:space="preserve">. </w:t>
      </w:r>
    </w:p>
    <w:p w:rsidR="004A51EA" w:rsidRPr="00351EA0" w:rsidRDefault="004A51EA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4A51EA" w:rsidRPr="00351EA0" w:rsidRDefault="00B90BDE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  <w:r w:rsidRPr="00351EA0">
        <w:rPr>
          <w:rFonts w:ascii="Arial" w:hAnsi="Arial" w:cs="Arial"/>
          <w:szCs w:val="24"/>
        </w:rPr>
        <w:t xml:space="preserve">Así, </w:t>
      </w:r>
      <w:r w:rsidR="004A51EA" w:rsidRPr="00351EA0">
        <w:rPr>
          <w:rFonts w:ascii="Arial" w:hAnsi="Arial" w:cs="Arial"/>
          <w:szCs w:val="24"/>
        </w:rPr>
        <w:t xml:space="preserve">se han destinado </w:t>
      </w:r>
      <w:r w:rsidR="004A51EA" w:rsidRPr="00351EA0">
        <w:rPr>
          <w:rFonts w:ascii="Arial" w:hAnsi="Arial" w:cs="Arial"/>
          <w:b/>
          <w:szCs w:val="24"/>
        </w:rPr>
        <w:t>más de</w:t>
      </w:r>
      <w:r w:rsidR="004A51EA" w:rsidRPr="00351EA0">
        <w:rPr>
          <w:rFonts w:ascii="Arial" w:hAnsi="Arial" w:cs="Arial"/>
          <w:szCs w:val="24"/>
        </w:rPr>
        <w:t xml:space="preserve"> </w:t>
      </w:r>
      <w:r w:rsidR="004A51EA" w:rsidRPr="00351EA0">
        <w:rPr>
          <w:rFonts w:ascii="Arial" w:hAnsi="Arial" w:cs="Arial"/>
          <w:b/>
          <w:szCs w:val="24"/>
        </w:rPr>
        <w:t>mil millones de euros</w:t>
      </w:r>
      <w:r w:rsidR="004A51EA" w:rsidRPr="00351EA0">
        <w:rPr>
          <w:rFonts w:ascii="Arial" w:hAnsi="Arial" w:cs="Arial"/>
          <w:szCs w:val="24"/>
        </w:rPr>
        <w:t xml:space="preserve"> a</w:t>
      </w:r>
      <w:r w:rsidRPr="00351EA0">
        <w:rPr>
          <w:rFonts w:ascii="Arial" w:hAnsi="Arial" w:cs="Arial"/>
          <w:szCs w:val="24"/>
        </w:rPr>
        <w:t xml:space="preserve"> préstamos </w:t>
      </w:r>
      <w:r w:rsidR="004A51EA" w:rsidRPr="00351EA0">
        <w:rPr>
          <w:rFonts w:ascii="Arial" w:hAnsi="Arial" w:cs="Arial"/>
          <w:szCs w:val="24"/>
        </w:rPr>
        <w:t>para</w:t>
      </w:r>
      <w:r w:rsidRPr="00351EA0">
        <w:rPr>
          <w:rFonts w:ascii="Arial" w:hAnsi="Arial" w:cs="Arial"/>
          <w:szCs w:val="24"/>
        </w:rPr>
        <w:t xml:space="preserve"> inversión en empresas</w:t>
      </w:r>
      <w:r w:rsidR="004A51EA" w:rsidRPr="00351EA0">
        <w:rPr>
          <w:rFonts w:ascii="Arial" w:hAnsi="Arial" w:cs="Arial"/>
          <w:szCs w:val="24"/>
        </w:rPr>
        <w:t xml:space="preserve">, lo que supone un </w:t>
      </w:r>
      <w:r w:rsidR="004A51EA" w:rsidRPr="00351EA0">
        <w:rPr>
          <w:rFonts w:ascii="Arial" w:hAnsi="Arial" w:cs="Arial"/>
          <w:b/>
          <w:szCs w:val="24"/>
        </w:rPr>
        <w:t>incremento del 96%,</w:t>
      </w:r>
      <w:r w:rsidR="004A51EA" w:rsidRPr="00351EA0">
        <w:rPr>
          <w:rFonts w:ascii="Arial" w:hAnsi="Arial" w:cs="Arial"/>
          <w:szCs w:val="24"/>
        </w:rPr>
        <w:t xml:space="preserve"> y se han suscrito </w:t>
      </w:r>
      <w:r w:rsidRPr="00351EA0">
        <w:rPr>
          <w:rFonts w:ascii="Arial" w:hAnsi="Arial" w:cs="Arial"/>
          <w:b/>
          <w:szCs w:val="24"/>
        </w:rPr>
        <w:t>90.000</w:t>
      </w:r>
      <w:r w:rsidR="004A51EA" w:rsidRPr="00351EA0">
        <w:rPr>
          <w:rFonts w:ascii="Arial" w:hAnsi="Arial" w:cs="Arial"/>
          <w:b/>
          <w:szCs w:val="24"/>
        </w:rPr>
        <w:t xml:space="preserve"> </w:t>
      </w:r>
      <w:r w:rsidRPr="00351EA0">
        <w:rPr>
          <w:rFonts w:ascii="Arial" w:hAnsi="Arial" w:cs="Arial"/>
          <w:b/>
          <w:szCs w:val="24"/>
        </w:rPr>
        <w:t>nuevas operaciones</w:t>
      </w:r>
      <w:r w:rsidRPr="00351EA0">
        <w:rPr>
          <w:rFonts w:ascii="Arial" w:hAnsi="Arial" w:cs="Arial"/>
          <w:szCs w:val="24"/>
        </w:rPr>
        <w:t xml:space="preserve"> de </w:t>
      </w:r>
      <w:r w:rsidR="004A51EA" w:rsidRPr="00351EA0">
        <w:rPr>
          <w:rFonts w:ascii="Arial" w:hAnsi="Arial" w:cs="Arial"/>
          <w:szCs w:val="24"/>
        </w:rPr>
        <w:t xml:space="preserve">crédito, </w:t>
      </w:r>
      <w:r w:rsidR="004A51EA" w:rsidRPr="00351EA0">
        <w:rPr>
          <w:rFonts w:ascii="Arial" w:hAnsi="Arial" w:cs="Arial"/>
          <w:b/>
          <w:szCs w:val="24"/>
        </w:rPr>
        <w:t>21%</w:t>
      </w:r>
      <w:r w:rsidR="004A51EA" w:rsidRPr="00351EA0">
        <w:rPr>
          <w:rFonts w:ascii="Arial" w:hAnsi="Arial" w:cs="Arial"/>
          <w:szCs w:val="24"/>
        </w:rPr>
        <w:t xml:space="preserve"> más que en septiembre de 2014</w:t>
      </w:r>
      <w:r w:rsidRPr="00351EA0">
        <w:rPr>
          <w:rFonts w:ascii="Arial" w:hAnsi="Arial" w:cs="Arial"/>
          <w:szCs w:val="24"/>
        </w:rPr>
        <w:t>.</w:t>
      </w:r>
      <w:r w:rsidR="004A51EA" w:rsidRPr="00351EA0">
        <w:rPr>
          <w:rFonts w:ascii="Arial" w:hAnsi="Arial" w:cs="Arial"/>
          <w:szCs w:val="24"/>
        </w:rPr>
        <w:t xml:space="preserve"> </w:t>
      </w:r>
    </w:p>
    <w:p w:rsidR="004A51EA" w:rsidRPr="00351EA0" w:rsidRDefault="004A51EA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4A51EA" w:rsidRDefault="004A51EA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  <w:highlight w:val="green"/>
        </w:rPr>
      </w:pPr>
      <w:r w:rsidRPr="00351EA0">
        <w:rPr>
          <w:rFonts w:ascii="Arial" w:hAnsi="Arial" w:cs="Arial"/>
          <w:szCs w:val="24"/>
        </w:rPr>
        <w:t>L</w:t>
      </w:r>
      <w:r w:rsidR="00CD5596" w:rsidRPr="00351EA0">
        <w:rPr>
          <w:rFonts w:ascii="Arial" w:hAnsi="Arial" w:cs="Arial"/>
          <w:szCs w:val="24"/>
        </w:rPr>
        <w:t xml:space="preserve">a evolución de los </w:t>
      </w:r>
      <w:r w:rsidR="00CD5596" w:rsidRPr="00351EA0">
        <w:rPr>
          <w:rFonts w:ascii="Arial" w:hAnsi="Arial" w:cs="Arial"/>
          <w:b/>
          <w:szCs w:val="24"/>
        </w:rPr>
        <w:t xml:space="preserve">importes descontados </w:t>
      </w:r>
      <w:r w:rsidR="00CD5596" w:rsidRPr="00351EA0">
        <w:rPr>
          <w:rFonts w:ascii="Arial" w:hAnsi="Arial" w:cs="Arial"/>
          <w:szCs w:val="24"/>
        </w:rPr>
        <w:t>ha sido del 21</w:t>
      </w:r>
      <w:r w:rsidR="000A723D" w:rsidRPr="00351EA0">
        <w:rPr>
          <w:rFonts w:ascii="Arial" w:hAnsi="Arial" w:cs="Arial"/>
          <w:szCs w:val="24"/>
        </w:rPr>
        <w:t>,5</w:t>
      </w:r>
      <w:r w:rsidR="00CD5596" w:rsidRPr="00351EA0">
        <w:rPr>
          <w:rFonts w:ascii="Arial" w:hAnsi="Arial" w:cs="Arial"/>
          <w:szCs w:val="24"/>
        </w:rPr>
        <w:t>%, y del 2</w:t>
      </w:r>
      <w:r w:rsidR="000A723D" w:rsidRPr="00351EA0">
        <w:rPr>
          <w:rFonts w:ascii="Arial" w:hAnsi="Arial" w:cs="Arial"/>
          <w:szCs w:val="24"/>
        </w:rPr>
        <w:t>5,2</w:t>
      </w:r>
      <w:r w:rsidR="00CD5596" w:rsidRPr="00351EA0">
        <w:rPr>
          <w:rFonts w:ascii="Arial" w:hAnsi="Arial" w:cs="Arial"/>
          <w:szCs w:val="24"/>
        </w:rPr>
        <w:t xml:space="preserve">% el de la financiación de las actividades de </w:t>
      </w:r>
      <w:r w:rsidR="00CD5596" w:rsidRPr="00351EA0">
        <w:rPr>
          <w:rFonts w:ascii="Arial" w:hAnsi="Arial" w:cs="Arial"/>
          <w:b/>
          <w:szCs w:val="24"/>
        </w:rPr>
        <w:t>comercio exterior</w:t>
      </w:r>
      <w:r w:rsidR="00A97AAB" w:rsidRPr="00351EA0">
        <w:rPr>
          <w:rFonts w:ascii="Arial" w:hAnsi="Arial" w:cs="Arial"/>
          <w:b/>
          <w:szCs w:val="24"/>
        </w:rPr>
        <w:t xml:space="preserve">. </w:t>
      </w:r>
      <w:r w:rsidR="00A97AAB" w:rsidRPr="00351EA0">
        <w:rPr>
          <w:rFonts w:ascii="Arial" w:hAnsi="Arial" w:cs="Arial"/>
        </w:rPr>
        <w:t>El negocio mayorista (excluido el riesgo promotor) aumenta con fuerza un 16,6% en el año, lo que refleja la mejora económica y el apoyo de Kutxabank a la financiación de los proyectos empresariales de sus clientes.</w:t>
      </w:r>
    </w:p>
    <w:p w:rsidR="000A723D" w:rsidRPr="00CD5596" w:rsidRDefault="000A723D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FFFFFF"/>
          <w:sz w:val="28"/>
          <w:szCs w:val="28"/>
          <w:highlight w:val="red"/>
          <w:lang w:val="es-ES"/>
        </w:rPr>
      </w:pPr>
      <w:r w:rsidRPr="00CD5596">
        <w:rPr>
          <w:rFonts w:ascii="Arial" w:hAnsi="Arial" w:cs="Arial"/>
          <w:b/>
          <w:color w:val="FFFFFF"/>
          <w:sz w:val="28"/>
          <w:szCs w:val="28"/>
          <w:highlight w:val="darkRed"/>
          <w:lang w:val="es-ES"/>
        </w:rPr>
        <w:t>El índice de morosidad ha mejorado 148 puntos básicos</w:t>
      </w: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  <w:highlight w:val="red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 xml:space="preserve">La evolución de la </w:t>
      </w:r>
      <w:r w:rsidRPr="00CD52D3">
        <w:rPr>
          <w:rFonts w:ascii="Arial" w:hAnsi="Arial" w:cs="Arial"/>
          <w:b/>
          <w:szCs w:val="24"/>
        </w:rPr>
        <w:t>tasa de morosidad</w:t>
      </w:r>
      <w:r w:rsidRPr="00CD5596">
        <w:rPr>
          <w:rFonts w:ascii="Arial" w:hAnsi="Arial" w:cs="Arial"/>
          <w:szCs w:val="24"/>
        </w:rPr>
        <w:t xml:space="preserve"> ha mantenido la tendencia positiva de los últimos trimestres</w:t>
      </w:r>
      <w:r w:rsidRPr="008A0E59">
        <w:rPr>
          <w:rFonts w:ascii="Arial" w:hAnsi="Arial" w:cs="Arial"/>
          <w:szCs w:val="24"/>
        </w:rPr>
        <w:t xml:space="preserve">, con una </w:t>
      </w:r>
      <w:r w:rsidR="00351EA0" w:rsidRPr="008A0E59">
        <w:rPr>
          <w:rFonts w:ascii="Arial" w:hAnsi="Arial" w:cs="Arial"/>
          <w:szCs w:val="24"/>
        </w:rPr>
        <w:t>continua reducción en</w:t>
      </w:r>
      <w:r w:rsidRPr="008A0E59">
        <w:rPr>
          <w:rFonts w:ascii="Arial" w:hAnsi="Arial" w:cs="Arial"/>
          <w:szCs w:val="24"/>
        </w:rPr>
        <w:t xml:space="preserve"> la entrada de activos dudosos. Por sexto trimestre consecutivo, </w:t>
      </w:r>
      <w:r w:rsidRPr="008A0E59">
        <w:rPr>
          <w:rFonts w:ascii="Arial" w:hAnsi="Arial" w:cs="Arial"/>
          <w:b/>
          <w:szCs w:val="24"/>
        </w:rPr>
        <w:t>los dudosos</w:t>
      </w:r>
      <w:r w:rsidRPr="00CD5596">
        <w:rPr>
          <w:rFonts w:ascii="Arial" w:hAnsi="Arial" w:cs="Arial"/>
          <w:b/>
          <w:szCs w:val="24"/>
        </w:rPr>
        <w:t xml:space="preserve"> se han reducido</w:t>
      </w:r>
      <w:r w:rsidRPr="00CD5596">
        <w:rPr>
          <w:rFonts w:ascii="Arial" w:hAnsi="Arial" w:cs="Arial"/>
          <w:szCs w:val="24"/>
        </w:rPr>
        <w:t xml:space="preserve"> en la práctica totalidad de las redes, hasta computar 731 millones de euros desde el inicio del año.</w:t>
      </w: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0A723D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  <w:r w:rsidRPr="00CD5596">
        <w:rPr>
          <w:rFonts w:ascii="Arial" w:hAnsi="Arial" w:cs="Arial"/>
          <w:szCs w:val="24"/>
        </w:rPr>
        <w:t xml:space="preserve">Dicha mejora ha situado </w:t>
      </w:r>
      <w:r w:rsidRPr="00CD5596">
        <w:rPr>
          <w:rFonts w:ascii="Arial" w:hAnsi="Arial" w:cs="Arial"/>
          <w:b/>
          <w:szCs w:val="24"/>
        </w:rPr>
        <w:t>la ratio de mora</w:t>
      </w:r>
      <w:r w:rsidRPr="00CD5596">
        <w:rPr>
          <w:rFonts w:ascii="Arial" w:hAnsi="Arial" w:cs="Arial"/>
          <w:szCs w:val="24"/>
        </w:rPr>
        <w:t xml:space="preserve"> del Grupo Kutxabank en</w:t>
      </w:r>
      <w:r w:rsidR="00CD52D3">
        <w:rPr>
          <w:rFonts w:ascii="Arial" w:hAnsi="Arial" w:cs="Arial"/>
          <w:szCs w:val="24"/>
        </w:rPr>
        <w:t xml:space="preserve"> el</w:t>
      </w:r>
      <w:r w:rsidRPr="00CD5596">
        <w:rPr>
          <w:rFonts w:ascii="Arial" w:hAnsi="Arial" w:cs="Arial"/>
          <w:szCs w:val="24"/>
        </w:rPr>
        <w:t xml:space="preserve"> </w:t>
      </w:r>
      <w:r w:rsidRPr="00CD5596">
        <w:rPr>
          <w:rFonts w:ascii="Arial" w:hAnsi="Arial" w:cs="Arial"/>
          <w:b/>
          <w:szCs w:val="24"/>
        </w:rPr>
        <w:t>9,20%,</w:t>
      </w:r>
      <w:r w:rsidRPr="00CD5596">
        <w:rPr>
          <w:rFonts w:ascii="Arial" w:hAnsi="Arial" w:cs="Arial"/>
          <w:szCs w:val="24"/>
        </w:rPr>
        <w:t xml:space="preserve"> lo que supone una </w:t>
      </w:r>
      <w:r w:rsidRPr="00CD5596">
        <w:rPr>
          <w:rFonts w:ascii="Arial" w:hAnsi="Arial" w:cs="Arial"/>
          <w:b/>
          <w:szCs w:val="24"/>
        </w:rPr>
        <w:t>evolución positiva de</w:t>
      </w:r>
      <w:r w:rsidRPr="00CD5596">
        <w:rPr>
          <w:rFonts w:ascii="Arial" w:hAnsi="Arial" w:cs="Arial"/>
          <w:szCs w:val="24"/>
        </w:rPr>
        <w:t xml:space="preserve"> </w:t>
      </w:r>
      <w:r w:rsidRPr="00CD5596">
        <w:rPr>
          <w:rFonts w:ascii="Arial" w:hAnsi="Arial" w:cs="Arial"/>
          <w:b/>
          <w:szCs w:val="24"/>
        </w:rPr>
        <w:t>148</w:t>
      </w:r>
      <w:r w:rsidRPr="00CD5596">
        <w:rPr>
          <w:rFonts w:ascii="Arial" w:hAnsi="Arial" w:cs="Arial"/>
          <w:szCs w:val="24"/>
        </w:rPr>
        <w:t xml:space="preserve"> puntos básicos </w:t>
      </w:r>
      <w:r w:rsidR="00CD52D3">
        <w:rPr>
          <w:rFonts w:ascii="Arial" w:hAnsi="Arial" w:cs="Arial"/>
          <w:szCs w:val="24"/>
        </w:rPr>
        <w:t>con respecto al cierre de</w:t>
      </w:r>
      <w:r w:rsidRPr="00CD5596">
        <w:rPr>
          <w:rFonts w:ascii="Arial" w:hAnsi="Arial" w:cs="Arial"/>
          <w:szCs w:val="24"/>
        </w:rPr>
        <w:t xml:space="preserve"> 2014. </w:t>
      </w:r>
      <w:r w:rsidRPr="00CD5596">
        <w:rPr>
          <w:rFonts w:ascii="Arial" w:hAnsi="Arial" w:cs="Arial"/>
          <w:b/>
          <w:szCs w:val="24"/>
        </w:rPr>
        <w:t>Exceptuada</w:t>
      </w:r>
      <w:r w:rsidRPr="00CD5596">
        <w:rPr>
          <w:rFonts w:ascii="Arial" w:hAnsi="Arial" w:cs="Arial"/>
          <w:szCs w:val="24"/>
        </w:rPr>
        <w:t xml:space="preserve"> la morosidad ligada al </w:t>
      </w:r>
      <w:r w:rsidRPr="00CD5596">
        <w:rPr>
          <w:rFonts w:ascii="Arial" w:hAnsi="Arial" w:cs="Arial"/>
          <w:b/>
          <w:szCs w:val="24"/>
        </w:rPr>
        <w:t>riesgo promotor</w:t>
      </w:r>
      <w:r w:rsidRPr="00CD5596">
        <w:rPr>
          <w:rFonts w:ascii="Arial" w:hAnsi="Arial" w:cs="Arial"/>
          <w:szCs w:val="24"/>
        </w:rPr>
        <w:t xml:space="preserve">, la ratio del Grupo ha quedado fijada en el </w:t>
      </w:r>
      <w:r w:rsidR="00020CF3" w:rsidRPr="000A723D">
        <w:rPr>
          <w:rFonts w:ascii="Arial" w:hAnsi="Arial" w:cs="Arial"/>
          <w:b/>
          <w:szCs w:val="24"/>
        </w:rPr>
        <w:t>5,24</w:t>
      </w:r>
      <w:r w:rsidRPr="000A723D">
        <w:rPr>
          <w:rFonts w:ascii="Arial" w:hAnsi="Arial" w:cs="Arial"/>
          <w:b/>
          <w:szCs w:val="24"/>
        </w:rPr>
        <w:t>%.</w:t>
      </w:r>
      <w:r w:rsidRPr="000A723D">
        <w:rPr>
          <w:rFonts w:ascii="Arial" w:hAnsi="Arial" w:cs="Arial"/>
          <w:szCs w:val="24"/>
        </w:rPr>
        <w:t xml:space="preserve"> Estos índices se comparan muy favorablemente con la media del sector financiero.</w:t>
      </w:r>
    </w:p>
    <w:p w:rsidR="00CD5596" w:rsidRPr="000A723D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  <w:r w:rsidRPr="000A723D">
        <w:rPr>
          <w:rFonts w:ascii="Arial" w:hAnsi="Arial" w:cs="Arial"/>
          <w:szCs w:val="24"/>
        </w:rPr>
        <w:t xml:space="preserve">El </w:t>
      </w:r>
      <w:r w:rsidRPr="000A723D">
        <w:rPr>
          <w:rFonts w:ascii="Arial" w:hAnsi="Arial" w:cs="Arial"/>
          <w:b/>
          <w:szCs w:val="24"/>
        </w:rPr>
        <w:t>Patrimonio Neto</w:t>
      </w:r>
      <w:r w:rsidRPr="000A723D">
        <w:rPr>
          <w:rFonts w:ascii="Arial" w:hAnsi="Arial" w:cs="Arial"/>
          <w:szCs w:val="24"/>
        </w:rPr>
        <w:t xml:space="preserve"> del Grupo Kutxabank ha ascendido a </w:t>
      </w:r>
      <w:r w:rsidR="00020CF3" w:rsidRPr="000A723D">
        <w:rPr>
          <w:rFonts w:ascii="Arial" w:hAnsi="Arial" w:cs="Arial"/>
          <w:b/>
          <w:szCs w:val="24"/>
        </w:rPr>
        <w:t>5.190</w:t>
      </w:r>
      <w:r w:rsidRPr="000A723D">
        <w:rPr>
          <w:rFonts w:ascii="Arial" w:hAnsi="Arial" w:cs="Arial"/>
          <w:b/>
          <w:szCs w:val="24"/>
        </w:rPr>
        <w:t xml:space="preserve"> millones de euros</w:t>
      </w:r>
      <w:r w:rsidRPr="000A723D">
        <w:rPr>
          <w:rFonts w:ascii="Arial" w:hAnsi="Arial" w:cs="Arial"/>
          <w:szCs w:val="24"/>
        </w:rPr>
        <w:t xml:space="preserve">, un </w:t>
      </w:r>
      <w:r w:rsidR="00020CF3" w:rsidRPr="000A723D">
        <w:rPr>
          <w:rFonts w:ascii="Arial" w:hAnsi="Arial" w:cs="Arial"/>
          <w:b/>
          <w:szCs w:val="24"/>
        </w:rPr>
        <w:t>0.93</w:t>
      </w:r>
      <w:r w:rsidRPr="000A723D">
        <w:rPr>
          <w:rFonts w:ascii="Arial" w:hAnsi="Arial" w:cs="Arial"/>
          <w:b/>
          <w:szCs w:val="24"/>
        </w:rPr>
        <w:t>% más</w:t>
      </w:r>
      <w:r w:rsidRPr="000A723D">
        <w:rPr>
          <w:rFonts w:ascii="Arial" w:hAnsi="Arial" w:cs="Arial"/>
          <w:szCs w:val="24"/>
        </w:rPr>
        <w:t xml:space="preserve"> que en </w:t>
      </w:r>
      <w:r w:rsidR="00020CF3" w:rsidRPr="000A723D">
        <w:rPr>
          <w:rFonts w:ascii="Arial" w:hAnsi="Arial" w:cs="Arial"/>
          <w:szCs w:val="24"/>
        </w:rPr>
        <w:t xml:space="preserve">a septiembre de </w:t>
      </w:r>
      <w:r w:rsidRPr="000A723D">
        <w:rPr>
          <w:rFonts w:ascii="Arial" w:hAnsi="Arial" w:cs="Arial"/>
          <w:szCs w:val="24"/>
        </w:rPr>
        <w:t xml:space="preserve">2014, con un </w:t>
      </w:r>
      <w:r w:rsidRPr="000A723D">
        <w:rPr>
          <w:rFonts w:ascii="Arial" w:hAnsi="Arial" w:cs="Arial"/>
          <w:b/>
          <w:szCs w:val="24"/>
        </w:rPr>
        <w:t xml:space="preserve">incremento del </w:t>
      </w:r>
      <w:r w:rsidR="00020CF3" w:rsidRPr="000A723D">
        <w:rPr>
          <w:rFonts w:ascii="Arial" w:hAnsi="Arial" w:cs="Arial"/>
          <w:b/>
          <w:szCs w:val="24"/>
        </w:rPr>
        <w:t>0.54</w:t>
      </w:r>
      <w:r w:rsidRPr="000A723D">
        <w:rPr>
          <w:rFonts w:ascii="Arial" w:hAnsi="Arial" w:cs="Arial"/>
          <w:b/>
          <w:szCs w:val="24"/>
        </w:rPr>
        <w:t>% en los fondos propios</w:t>
      </w:r>
      <w:r w:rsidRPr="000A723D">
        <w:rPr>
          <w:rFonts w:ascii="Arial" w:hAnsi="Arial" w:cs="Arial"/>
          <w:szCs w:val="24"/>
        </w:rPr>
        <w:t>. Estas sólidas cifras permiten al Grupo Kutxabank mantenerse entre las entidades más capitalizadas del sistema financiero</w:t>
      </w:r>
      <w:r w:rsidRPr="00CD5596">
        <w:rPr>
          <w:rFonts w:ascii="Arial" w:hAnsi="Arial" w:cs="Arial"/>
          <w:szCs w:val="24"/>
        </w:rPr>
        <w:t>.</w:t>
      </w:r>
    </w:p>
    <w:p w:rsidR="00CD5596" w:rsidRPr="00CD5596" w:rsidRDefault="00CD5596" w:rsidP="00CD5596">
      <w:pPr>
        <w:spacing w:line="276" w:lineRule="auto"/>
        <w:jc w:val="both"/>
        <w:rPr>
          <w:rFonts w:ascii="Arial" w:hAnsi="Arial" w:cs="Arial"/>
          <w:szCs w:val="24"/>
        </w:rPr>
      </w:pPr>
    </w:p>
    <w:p w:rsidR="00D31F00" w:rsidRDefault="00D31F00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D31F00" w:rsidRDefault="00D31F00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BC415D" w:rsidRDefault="00BC415D" w:rsidP="00BC415D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 w:rsidR="002F744C" w:rsidRPr="002F744C" w:rsidRDefault="002F744C" w:rsidP="002F744C">
      <w:pPr>
        <w:pStyle w:val="Textodecuerpo"/>
        <w:spacing w:line="276" w:lineRule="auto"/>
        <w:rPr>
          <w:rFonts w:ascii="Arial" w:eastAsia="Cambria" w:hAnsi="Arial" w:cs="Arial"/>
          <w:sz w:val="24"/>
          <w:szCs w:val="24"/>
          <w:lang w:val="es-ES_tradnl" w:eastAsia="en-US"/>
        </w:rPr>
      </w:pPr>
    </w:p>
    <w:sectPr w:rsidR="002F744C" w:rsidRPr="002F744C" w:rsidSect="009A31BB">
      <w:headerReference w:type="default" r:id="rId9"/>
      <w:footerReference w:type="default" r:id="rId10"/>
      <w:pgSz w:w="11906" w:h="16838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6" w:rsidRDefault="00A557F6">
      <w:r>
        <w:separator/>
      </w:r>
    </w:p>
  </w:endnote>
  <w:endnote w:type="continuationSeparator" w:id="0">
    <w:p w:rsidR="00A557F6" w:rsidRDefault="00A5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DE" w:rsidRDefault="00A557F6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inline distT="0" distB="0" distL="0" distR="0">
              <wp:extent cx="5467350" cy="45085"/>
              <wp:effectExtent l="0" t="0" r="6350" b="5715"/>
              <wp:docPr id="1" name="Autoforma 1" descr="Horizontal cla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C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0l0,10800,10800,21600,21600,10800xe">
              <v:stroke joinstyle="miter"/>
              <v:path gradientshapeok="t" o:connecttype="rect" textboxrect="5400,5400,16200,16200"/>
            </v:shapetype>
            <v:shape id="Autoforma 1" o:spid="_x0000_s1026" type="#_x0000_t110" alt="Descripción: Horizontal clara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" fillcolor="#c00000" stroked="f">
              <v:fill r:id="rId1" o:title="" type="pattern"/>
              <w10:anchorlock/>
            </v:shape>
          </w:pict>
        </mc:Fallback>
      </mc:AlternateContent>
    </w:r>
  </w:p>
  <w:p w:rsidR="00B90BDE" w:rsidRPr="00002ECD" w:rsidRDefault="00B90BDE">
    <w:pPr>
      <w:pStyle w:val="Piedepgina"/>
      <w:jc w:val="center"/>
      <w:rPr>
        <w:color w:val="C00000"/>
      </w:rPr>
    </w:pPr>
    <w:r w:rsidRPr="00002ECD">
      <w:rPr>
        <w:color w:val="C00000"/>
      </w:rPr>
      <w:fldChar w:fldCharType="begin"/>
    </w:r>
    <w:r w:rsidRPr="00002ECD">
      <w:rPr>
        <w:color w:val="C00000"/>
      </w:rPr>
      <w:instrText>PAGE    \* MERGEFORMAT</w:instrText>
    </w:r>
    <w:r w:rsidRPr="00002ECD">
      <w:rPr>
        <w:color w:val="C00000"/>
      </w:rPr>
      <w:fldChar w:fldCharType="separate"/>
    </w:r>
    <w:r w:rsidR="00A557F6" w:rsidRPr="00A557F6">
      <w:rPr>
        <w:noProof/>
        <w:color w:val="C00000"/>
        <w:lang w:val="es-ES"/>
      </w:rPr>
      <w:t>1</w:t>
    </w:r>
    <w:r w:rsidRPr="00002ECD">
      <w:rPr>
        <w:color w:val="C00000"/>
      </w:rPr>
      <w:fldChar w:fldCharType="end"/>
    </w:r>
  </w:p>
  <w:p w:rsidR="00B90BDE" w:rsidRDefault="00B90BD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6" w:rsidRDefault="00A557F6">
      <w:r>
        <w:separator/>
      </w:r>
    </w:p>
  </w:footnote>
  <w:footnote w:type="continuationSeparator" w:id="0">
    <w:p w:rsidR="00A557F6" w:rsidRDefault="00A557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DE" w:rsidRDefault="00A557F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194300" cy="1016000"/>
          <wp:effectExtent l="0" t="0" r="12700" b="0"/>
          <wp:docPr id="2" name="Imagen 1" descr="kutxaban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kutxaban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D4E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BB"/>
    <w:rsid w:val="00002ECD"/>
    <w:rsid w:val="00004495"/>
    <w:rsid w:val="00010198"/>
    <w:rsid w:val="00011A29"/>
    <w:rsid w:val="00016497"/>
    <w:rsid w:val="00020CF3"/>
    <w:rsid w:val="000249CC"/>
    <w:rsid w:val="0002538D"/>
    <w:rsid w:val="00025D72"/>
    <w:rsid w:val="000369A9"/>
    <w:rsid w:val="00053154"/>
    <w:rsid w:val="00065B8A"/>
    <w:rsid w:val="0006781A"/>
    <w:rsid w:val="00070E09"/>
    <w:rsid w:val="00075FF8"/>
    <w:rsid w:val="00076D4A"/>
    <w:rsid w:val="00080917"/>
    <w:rsid w:val="00083582"/>
    <w:rsid w:val="000A50E6"/>
    <w:rsid w:val="000A723D"/>
    <w:rsid w:val="000A7D02"/>
    <w:rsid w:val="000B20DC"/>
    <w:rsid w:val="000B5E0C"/>
    <w:rsid w:val="000B68A9"/>
    <w:rsid w:val="000D3971"/>
    <w:rsid w:val="000E0A05"/>
    <w:rsid w:val="000E4AB3"/>
    <w:rsid w:val="00100DBF"/>
    <w:rsid w:val="0010284B"/>
    <w:rsid w:val="001053ED"/>
    <w:rsid w:val="00114C79"/>
    <w:rsid w:val="001213CE"/>
    <w:rsid w:val="001316E7"/>
    <w:rsid w:val="001400AB"/>
    <w:rsid w:val="00141FAE"/>
    <w:rsid w:val="00144DA7"/>
    <w:rsid w:val="00146FB4"/>
    <w:rsid w:val="001470FA"/>
    <w:rsid w:val="00161F3F"/>
    <w:rsid w:val="001647C3"/>
    <w:rsid w:val="00164E0A"/>
    <w:rsid w:val="00174127"/>
    <w:rsid w:val="00183342"/>
    <w:rsid w:val="00184A13"/>
    <w:rsid w:val="00190793"/>
    <w:rsid w:val="00191494"/>
    <w:rsid w:val="00192DCF"/>
    <w:rsid w:val="00193DD9"/>
    <w:rsid w:val="001A3B07"/>
    <w:rsid w:val="001A3C52"/>
    <w:rsid w:val="001A4917"/>
    <w:rsid w:val="001B2260"/>
    <w:rsid w:val="001B6E17"/>
    <w:rsid w:val="001C0079"/>
    <w:rsid w:val="001D67E3"/>
    <w:rsid w:val="001D7D1E"/>
    <w:rsid w:val="001E069B"/>
    <w:rsid w:val="001E2E9E"/>
    <w:rsid w:val="001F7791"/>
    <w:rsid w:val="00200C54"/>
    <w:rsid w:val="00205B1A"/>
    <w:rsid w:val="002129B4"/>
    <w:rsid w:val="00216BEC"/>
    <w:rsid w:val="00226A63"/>
    <w:rsid w:val="0022762E"/>
    <w:rsid w:val="00227D47"/>
    <w:rsid w:val="00235372"/>
    <w:rsid w:val="00237681"/>
    <w:rsid w:val="00244815"/>
    <w:rsid w:val="002541AD"/>
    <w:rsid w:val="002711CC"/>
    <w:rsid w:val="00272A81"/>
    <w:rsid w:val="002845F3"/>
    <w:rsid w:val="00295FAD"/>
    <w:rsid w:val="002A2448"/>
    <w:rsid w:val="002A4566"/>
    <w:rsid w:val="002B11E1"/>
    <w:rsid w:val="002B15BB"/>
    <w:rsid w:val="002B6812"/>
    <w:rsid w:val="002C1641"/>
    <w:rsid w:val="002C1D68"/>
    <w:rsid w:val="002C5FDF"/>
    <w:rsid w:val="002D3DBC"/>
    <w:rsid w:val="002E382B"/>
    <w:rsid w:val="002E464D"/>
    <w:rsid w:val="002E4D89"/>
    <w:rsid w:val="002E4ECC"/>
    <w:rsid w:val="002E6B0F"/>
    <w:rsid w:val="002F381B"/>
    <w:rsid w:val="002F4E3B"/>
    <w:rsid w:val="002F54A2"/>
    <w:rsid w:val="002F728C"/>
    <w:rsid w:val="002F744C"/>
    <w:rsid w:val="003022DA"/>
    <w:rsid w:val="00304AEE"/>
    <w:rsid w:val="00310F20"/>
    <w:rsid w:val="00325F50"/>
    <w:rsid w:val="00337FD9"/>
    <w:rsid w:val="00342CFE"/>
    <w:rsid w:val="00346BFB"/>
    <w:rsid w:val="00347065"/>
    <w:rsid w:val="003471DF"/>
    <w:rsid w:val="00351EA0"/>
    <w:rsid w:val="00354977"/>
    <w:rsid w:val="003635FD"/>
    <w:rsid w:val="00373BA4"/>
    <w:rsid w:val="00376652"/>
    <w:rsid w:val="003909F4"/>
    <w:rsid w:val="003950EB"/>
    <w:rsid w:val="00395F33"/>
    <w:rsid w:val="003A0870"/>
    <w:rsid w:val="003A0909"/>
    <w:rsid w:val="003A6810"/>
    <w:rsid w:val="003B24B8"/>
    <w:rsid w:val="003B48C0"/>
    <w:rsid w:val="003C0CDD"/>
    <w:rsid w:val="003D0B2E"/>
    <w:rsid w:val="003D1496"/>
    <w:rsid w:val="003D218F"/>
    <w:rsid w:val="003D5B5E"/>
    <w:rsid w:val="003E224A"/>
    <w:rsid w:val="003E436F"/>
    <w:rsid w:val="003F3D44"/>
    <w:rsid w:val="003F77BE"/>
    <w:rsid w:val="00402BC8"/>
    <w:rsid w:val="00412210"/>
    <w:rsid w:val="00421A24"/>
    <w:rsid w:val="00423207"/>
    <w:rsid w:val="00424EE2"/>
    <w:rsid w:val="004258B5"/>
    <w:rsid w:val="0042798C"/>
    <w:rsid w:val="00435563"/>
    <w:rsid w:val="004438B3"/>
    <w:rsid w:val="00443DC9"/>
    <w:rsid w:val="00447561"/>
    <w:rsid w:val="00466D4F"/>
    <w:rsid w:val="00467B5E"/>
    <w:rsid w:val="004936A6"/>
    <w:rsid w:val="004A51EA"/>
    <w:rsid w:val="004B4638"/>
    <w:rsid w:val="004B5461"/>
    <w:rsid w:val="004C0147"/>
    <w:rsid w:val="004D7443"/>
    <w:rsid w:val="004E0F81"/>
    <w:rsid w:val="004F11BB"/>
    <w:rsid w:val="004F4536"/>
    <w:rsid w:val="004F471F"/>
    <w:rsid w:val="004F7102"/>
    <w:rsid w:val="0050417C"/>
    <w:rsid w:val="00512A11"/>
    <w:rsid w:val="0051798A"/>
    <w:rsid w:val="005209B9"/>
    <w:rsid w:val="005245B7"/>
    <w:rsid w:val="00533043"/>
    <w:rsid w:val="00540C44"/>
    <w:rsid w:val="00551179"/>
    <w:rsid w:val="005521B4"/>
    <w:rsid w:val="0055571D"/>
    <w:rsid w:val="00557AF0"/>
    <w:rsid w:val="00562043"/>
    <w:rsid w:val="00564A49"/>
    <w:rsid w:val="005667BD"/>
    <w:rsid w:val="00575943"/>
    <w:rsid w:val="0057623C"/>
    <w:rsid w:val="00576B88"/>
    <w:rsid w:val="0058100B"/>
    <w:rsid w:val="0058420F"/>
    <w:rsid w:val="00584CE7"/>
    <w:rsid w:val="005969C4"/>
    <w:rsid w:val="005A353E"/>
    <w:rsid w:val="005A6917"/>
    <w:rsid w:val="005A7DF7"/>
    <w:rsid w:val="005B119D"/>
    <w:rsid w:val="005B1321"/>
    <w:rsid w:val="005B1DF6"/>
    <w:rsid w:val="005B451C"/>
    <w:rsid w:val="005D014F"/>
    <w:rsid w:val="005D23A4"/>
    <w:rsid w:val="005E2833"/>
    <w:rsid w:val="005F52CF"/>
    <w:rsid w:val="005F5767"/>
    <w:rsid w:val="005F7E98"/>
    <w:rsid w:val="00600491"/>
    <w:rsid w:val="00601F84"/>
    <w:rsid w:val="00610A1C"/>
    <w:rsid w:val="00611193"/>
    <w:rsid w:val="00613391"/>
    <w:rsid w:val="00614BCB"/>
    <w:rsid w:val="00623FC3"/>
    <w:rsid w:val="006268E8"/>
    <w:rsid w:val="00631C2F"/>
    <w:rsid w:val="00634BA8"/>
    <w:rsid w:val="00641A2F"/>
    <w:rsid w:val="0066059D"/>
    <w:rsid w:val="00661B39"/>
    <w:rsid w:val="00666391"/>
    <w:rsid w:val="00666417"/>
    <w:rsid w:val="00666DA5"/>
    <w:rsid w:val="0067600F"/>
    <w:rsid w:val="00682C16"/>
    <w:rsid w:val="0069442A"/>
    <w:rsid w:val="0069533C"/>
    <w:rsid w:val="006A2414"/>
    <w:rsid w:val="006A2445"/>
    <w:rsid w:val="006A6882"/>
    <w:rsid w:val="006B2509"/>
    <w:rsid w:val="006C0627"/>
    <w:rsid w:val="006C4A6E"/>
    <w:rsid w:val="006E4156"/>
    <w:rsid w:val="006E6F0A"/>
    <w:rsid w:val="006E7303"/>
    <w:rsid w:val="006F16F6"/>
    <w:rsid w:val="006F49CC"/>
    <w:rsid w:val="006F67F0"/>
    <w:rsid w:val="006F7E9A"/>
    <w:rsid w:val="00701A68"/>
    <w:rsid w:val="0071253B"/>
    <w:rsid w:val="00712705"/>
    <w:rsid w:val="00713137"/>
    <w:rsid w:val="00723B11"/>
    <w:rsid w:val="00724E35"/>
    <w:rsid w:val="007255F7"/>
    <w:rsid w:val="00733DE0"/>
    <w:rsid w:val="00746095"/>
    <w:rsid w:val="00751136"/>
    <w:rsid w:val="007522B5"/>
    <w:rsid w:val="00760414"/>
    <w:rsid w:val="00764549"/>
    <w:rsid w:val="007708CA"/>
    <w:rsid w:val="00773080"/>
    <w:rsid w:val="00774565"/>
    <w:rsid w:val="0077752C"/>
    <w:rsid w:val="00785760"/>
    <w:rsid w:val="007A1C4C"/>
    <w:rsid w:val="007A3055"/>
    <w:rsid w:val="007A7E59"/>
    <w:rsid w:val="007B5043"/>
    <w:rsid w:val="007B68D5"/>
    <w:rsid w:val="007B6B9F"/>
    <w:rsid w:val="007C21DC"/>
    <w:rsid w:val="007D2EDA"/>
    <w:rsid w:val="007D37F5"/>
    <w:rsid w:val="00801721"/>
    <w:rsid w:val="008071D6"/>
    <w:rsid w:val="00816FFF"/>
    <w:rsid w:val="008265AA"/>
    <w:rsid w:val="00826727"/>
    <w:rsid w:val="008321CC"/>
    <w:rsid w:val="0083387C"/>
    <w:rsid w:val="00834AE6"/>
    <w:rsid w:val="0084169C"/>
    <w:rsid w:val="00841D33"/>
    <w:rsid w:val="00844FA3"/>
    <w:rsid w:val="008476E7"/>
    <w:rsid w:val="00853739"/>
    <w:rsid w:val="00864500"/>
    <w:rsid w:val="00864A08"/>
    <w:rsid w:val="008671F8"/>
    <w:rsid w:val="008743C4"/>
    <w:rsid w:val="00875A07"/>
    <w:rsid w:val="008766BB"/>
    <w:rsid w:val="00882071"/>
    <w:rsid w:val="00886384"/>
    <w:rsid w:val="0088773E"/>
    <w:rsid w:val="00897053"/>
    <w:rsid w:val="00897A98"/>
    <w:rsid w:val="008A0E59"/>
    <w:rsid w:val="008A66C7"/>
    <w:rsid w:val="008A7C53"/>
    <w:rsid w:val="008B3EA5"/>
    <w:rsid w:val="008C1D3D"/>
    <w:rsid w:val="008C46F8"/>
    <w:rsid w:val="008C4C4E"/>
    <w:rsid w:val="008C6551"/>
    <w:rsid w:val="008D0EFA"/>
    <w:rsid w:val="008D2EC9"/>
    <w:rsid w:val="008E108C"/>
    <w:rsid w:val="008E324B"/>
    <w:rsid w:val="008E3918"/>
    <w:rsid w:val="008E3C3E"/>
    <w:rsid w:val="008E4B92"/>
    <w:rsid w:val="008E61AB"/>
    <w:rsid w:val="008E6715"/>
    <w:rsid w:val="008F14B0"/>
    <w:rsid w:val="008F348B"/>
    <w:rsid w:val="00903476"/>
    <w:rsid w:val="0090405A"/>
    <w:rsid w:val="0091146D"/>
    <w:rsid w:val="00912194"/>
    <w:rsid w:val="009204C9"/>
    <w:rsid w:val="00923475"/>
    <w:rsid w:val="009273A8"/>
    <w:rsid w:val="00927DE3"/>
    <w:rsid w:val="00932E47"/>
    <w:rsid w:val="009378DD"/>
    <w:rsid w:val="0095209B"/>
    <w:rsid w:val="009642E7"/>
    <w:rsid w:val="0096715A"/>
    <w:rsid w:val="00985E0C"/>
    <w:rsid w:val="00986671"/>
    <w:rsid w:val="00986696"/>
    <w:rsid w:val="00987B6F"/>
    <w:rsid w:val="009912A1"/>
    <w:rsid w:val="009A31BB"/>
    <w:rsid w:val="009C0285"/>
    <w:rsid w:val="009C318C"/>
    <w:rsid w:val="009C526A"/>
    <w:rsid w:val="009D5A43"/>
    <w:rsid w:val="009D5FAA"/>
    <w:rsid w:val="009D7DAB"/>
    <w:rsid w:val="009E2A26"/>
    <w:rsid w:val="009E5474"/>
    <w:rsid w:val="009F3877"/>
    <w:rsid w:val="00A03C35"/>
    <w:rsid w:val="00A06788"/>
    <w:rsid w:val="00A06F57"/>
    <w:rsid w:val="00A12E94"/>
    <w:rsid w:val="00A158C6"/>
    <w:rsid w:val="00A2235F"/>
    <w:rsid w:val="00A24259"/>
    <w:rsid w:val="00A278FC"/>
    <w:rsid w:val="00A27FAE"/>
    <w:rsid w:val="00A4659F"/>
    <w:rsid w:val="00A52BC8"/>
    <w:rsid w:val="00A557F6"/>
    <w:rsid w:val="00A602F6"/>
    <w:rsid w:val="00A660C0"/>
    <w:rsid w:val="00A740B0"/>
    <w:rsid w:val="00A754E2"/>
    <w:rsid w:val="00A803CD"/>
    <w:rsid w:val="00A83642"/>
    <w:rsid w:val="00A90DC6"/>
    <w:rsid w:val="00A9147D"/>
    <w:rsid w:val="00A91DA8"/>
    <w:rsid w:val="00A94731"/>
    <w:rsid w:val="00A96829"/>
    <w:rsid w:val="00A97AAB"/>
    <w:rsid w:val="00AB304E"/>
    <w:rsid w:val="00AC09C9"/>
    <w:rsid w:val="00AC3711"/>
    <w:rsid w:val="00AD1CEB"/>
    <w:rsid w:val="00AD4FA2"/>
    <w:rsid w:val="00AE5FA4"/>
    <w:rsid w:val="00AF7DB6"/>
    <w:rsid w:val="00B005B5"/>
    <w:rsid w:val="00B02B23"/>
    <w:rsid w:val="00B06433"/>
    <w:rsid w:val="00B071F7"/>
    <w:rsid w:val="00B07A1B"/>
    <w:rsid w:val="00B13F4E"/>
    <w:rsid w:val="00B27235"/>
    <w:rsid w:val="00B43AE4"/>
    <w:rsid w:val="00B457DB"/>
    <w:rsid w:val="00B4661E"/>
    <w:rsid w:val="00B47CE0"/>
    <w:rsid w:val="00B54DDF"/>
    <w:rsid w:val="00B63ED2"/>
    <w:rsid w:val="00B73702"/>
    <w:rsid w:val="00B90BDE"/>
    <w:rsid w:val="00B9411B"/>
    <w:rsid w:val="00BA0027"/>
    <w:rsid w:val="00BA3707"/>
    <w:rsid w:val="00BA46B2"/>
    <w:rsid w:val="00BB335A"/>
    <w:rsid w:val="00BC034F"/>
    <w:rsid w:val="00BC2C10"/>
    <w:rsid w:val="00BC3375"/>
    <w:rsid w:val="00BC415D"/>
    <w:rsid w:val="00BE5C0C"/>
    <w:rsid w:val="00BE5E10"/>
    <w:rsid w:val="00BF4EC1"/>
    <w:rsid w:val="00C10203"/>
    <w:rsid w:val="00C12F16"/>
    <w:rsid w:val="00C13D06"/>
    <w:rsid w:val="00C13EE5"/>
    <w:rsid w:val="00C15112"/>
    <w:rsid w:val="00C17DAA"/>
    <w:rsid w:val="00C25433"/>
    <w:rsid w:val="00C36691"/>
    <w:rsid w:val="00C41C61"/>
    <w:rsid w:val="00C5249E"/>
    <w:rsid w:val="00C53240"/>
    <w:rsid w:val="00C641FC"/>
    <w:rsid w:val="00C65EFF"/>
    <w:rsid w:val="00C66689"/>
    <w:rsid w:val="00C66FEE"/>
    <w:rsid w:val="00C73F21"/>
    <w:rsid w:val="00C77C8B"/>
    <w:rsid w:val="00C82C48"/>
    <w:rsid w:val="00C83699"/>
    <w:rsid w:val="00C856D1"/>
    <w:rsid w:val="00C873F2"/>
    <w:rsid w:val="00C92846"/>
    <w:rsid w:val="00C958FE"/>
    <w:rsid w:val="00C95B0B"/>
    <w:rsid w:val="00C969B4"/>
    <w:rsid w:val="00CA0032"/>
    <w:rsid w:val="00CA20D9"/>
    <w:rsid w:val="00CA493F"/>
    <w:rsid w:val="00CB6266"/>
    <w:rsid w:val="00CC0202"/>
    <w:rsid w:val="00CC32AC"/>
    <w:rsid w:val="00CD0ADE"/>
    <w:rsid w:val="00CD1715"/>
    <w:rsid w:val="00CD17B5"/>
    <w:rsid w:val="00CD41D1"/>
    <w:rsid w:val="00CD52D3"/>
    <w:rsid w:val="00CD5596"/>
    <w:rsid w:val="00CD6178"/>
    <w:rsid w:val="00CD7B4C"/>
    <w:rsid w:val="00CE0281"/>
    <w:rsid w:val="00D00D88"/>
    <w:rsid w:val="00D206B2"/>
    <w:rsid w:val="00D24D42"/>
    <w:rsid w:val="00D2504C"/>
    <w:rsid w:val="00D26C00"/>
    <w:rsid w:val="00D31F00"/>
    <w:rsid w:val="00D42629"/>
    <w:rsid w:val="00D435A5"/>
    <w:rsid w:val="00D45F14"/>
    <w:rsid w:val="00D46B4C"/>
    <w:rsid w:val="00D63DC3"/>
    <w:rsid w:val="00D70874"/>
    <w:rsid w:val="00D7736A"/>
    <w:rsid w:val="00D77DAA"/>
    <w:rsid w:val="00D8716B"/>
    <w:rsid w:val="00D9030F"/>
    <w:rsid w:val="00D93E24"/>
    <w:rsid w:val="00D96F50"/>
    <w:rsid w:val="00DA0CE2"/>
    <w:rsid w:val="00DA7A54"/>
    <w:rsid w:val="00DB23FE"/>
    <w:rsid w:val="00DB2715"/>
    <w:rsid w:val="00DB460D"/>
    <w:rsid w:val="00DC1493"/>
    <w:rsid w:val="00DC6390"/>
    <w:rsid w:val="00DE7388"/>
    <w:rsid w:val="00DE7769"/>
    <w:rsid w:val="00DF19D1"/>
    <w:rsid w:val="00DF2E6B"/>
    <w:rsid w:val="00DF5E46"/>
    <w:rsid w:val="00DF656A"/>
    <w:rsid w:val="00DF7F93"/>
    <w:rsid w:val="00E03829"/>
    <w:rsid w:val="00E04D8A"/>
    <w:rsid w:val="00E067C7"/>
    <w:rsid w:val="00E06C68"/>
    <w:rsid w:val="00E07100"/>
    <w:rsid w:val="00E077EE"/>
    <w:rsid w:val="00E17DB6"/>
    <w:rsid w:val="00E24DFB"/>
    <w:rsid w:val="00E32ADC"/>
    <w:rsid w:val="00E330B3"/>
    <w:rsid w:val="00E35840"/>
    <w:rsid w:val="00E401B9"/>
    <w:rsid w:val="00E41D94"/>
    <w:rsid w:val="00E43F4B"/>
    <w:rsid w:val="00E470E2"/>
    <w:rsid w:val="00E47F64"/>
    <w:rsid w:val="00E57FD4"/>
    <w:rsid w:val="00E60D2B"/>
    <w:rsid w:val="00E61534"/>
    <w:rsid w:val="00E64D35"/>
    <w:rsid w:val="00E64EEA"/>
    <w:rsid w:val="00E67346"/>
    <w:rsid w:val="00E67640"/>
    <w:rsid w:val="00E67AA0"/>
    <w:rsid w:val="00E82ED1"/>
    <w:rsid w:val="00E8306C"/>
    <w:rsid w:val="00E830D2"/>
    <w:rsid w:val="00E87877"/>
    <w:rsid w:val="00E937F7"/>
    <w:rsid w:val="00EA20BB"/>
    <w:rsid w:val="00EA3005"/>
    <w:rsid w:val="00EB16FF"/>
    <w:rsid w:val="00EB1C46"/>
    <w:rsid w:val="00EB727C"/>
    <w:rsid w:val="00EC2AAB"/>
    <w:rsid w:val="00ED1C7E"/>
    <w:rsid w:val="00ED3BBE"/>
    <w:rsid w:val="00EE783D"/>
    <w:rsid w:val="00EF294A"/>
    <w:rsid w:val="00EF3C42"/>
    <w:rsid w:val="00EF79CA"/>
    <w:rsid w:val="00F01A58"/>
    <w:rsid w:val="00F057A6"/>
    <w:rsid w:val="00F0753A"/>
    <w:rsid w:val="00F13344"/>
    <w:rsid w:val="00F22094"/>
    <w:rsid w:val="00F244B1"/>
    <w:rsid w:val="00F272D4"/>
    <w:rsid w:val="00F27F97"/>
    <w:rsid w:val="00F31062"/>
    <w:rsid w:val="00F343FA"/>
    <w:rsid w:val="00F43013"/>
    <w:rsid w:val="00F43737"/>
    <w:rsid w:val="00F441F2"/>
    <w:rsid w:val="00F479E1"/>
    <w:rsid w:val="00F528D7"/>
    <w:rsid w:val="00F547AD"/>
    <w:rsid w:val="00F54FCD"/>
    <w:rsid w:val="00F55BDF"/>
    <w:rsid w:val="00F60FED"/>
    <w:rsid w:val="00F63D5B"/>
    <w:rsid w:val="00F670B1"/>
    <w:rsid w:val="00F712A3"/>
    <w:rsid w:val="00F7332B"/>
    <w:rsid w:val="00F742BF"/>
    <w:rsid w:val="00F762FF"/>
    <w:rsid w:val="00F906B1"/>
    <w:rsid w:val="00F9201D"/>
    <w:rsid w:val="00F95A4F"/>
    <w:rsid w:val="00FA0EDB"/>
    <w:rsid w:val="00FA594B"/>
    <w:rsid w:val="00FA6DF2"/>
    <w:rsid w:val="00FA731D"/>
    <w:rsid w:val="00FA7D89"/>
    <w:rsid w:val="00FB0502"/>
    <w:rsid w:val="00FB5B58"/>
    <w:rsid w:val="00FB7B3C"/>
    <w:rsid w:val="00FD2962"/>
    <w:rsid w:val="00FD58BA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 w:qFormat="1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BB"/>
    <w:rPr>
      <w:rFonts w:eastAsia="Cambria"/>
      <w:sz w:val="24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1BB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A31BB"/>
    <w:rPr>
      <w:rFonts w:ascii="Cambria" w:eastAsia="Cambria" w:hAnsi="Cambri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A31BB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A31BB"/>
    <w:rPr>
      <w:rFonts w:ascii="Cambria" w:eastAsia="Cambria" w:hAnsi="Cambria" w:cs="Times New Roman"/>
      <w:szCs w:val="20"/>
    </w:rPr>
  </w:style>
  <w:style w:type="paragraph" w:styleId="NormalWeb">
    <w:name w:val="Normal (Web)"/>
    <w:basedOn w:val="Normal"/>
    <w:uiPriority w:val="99"/>
    <w:unhideWhenUsed/>
    <w:rsid w:val="009A31BB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Textodecuerpo">
    <w:name w:val="Body Text"/>
    <w:basedOn w:val="Normal"/>
    <w:link w:val="TextodecuerpoCar"/>
    <w:rsid w:val="0090405A"/>
    <w:pPr>
      <w:jc w:val="both"/>
    </w:pPr>
    <w:rPr>
      <w:rFonts w:ascii="Times" w:eastAsia="Times" w:hAnsi="Times"/>
      <w:sz w:val="20"/>
      <w:lang w:val="x-none" w:eastAsia="es-ES"/>
    </w:rPr>
  </w:style>
  <w:style w:type="character" w:customStyle="1" w:styleId="TextodecuerpoCar">
    <w:name w:val="Texto de cuerpo Car"/>
    <w:link w:val="Textodecuerpo"/>
    <w:rsid w:val="0090405A"/>
    <w:rPr>
      <w:rFonts w:ascii="Times" w:eastAsia="Times" w:hAnsi="Times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7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773E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 w:qFormat="1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BB"/>
    <w:rPr>
      <w:rFonts w:eastAsia="Cambria"/>
      <w:sz w:val="24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1BB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A31BB"/>
    <w:rPr>
      <w:rFonts w:ascii="Cambria" w:eastAsia="Cambria" w:hAnsi="Cambri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A31BB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A31BB"/>
    <w:rPr>
      <w:rFonts w:ascii="Cambria" w:eastAsia="Cambria" w:hAnsi="Cambria" w:cs="Times New Roman"/>
      <w:szCs w:val="20"/>
    </w:rPr>
  </w:style>
  <w:style w:type="paragraph" w:styleId="NormalWeb">
    <w:name w:val="Normal (Web)"/>
    <w:basedOn w:val="Normal"/>
    <w:uiPriority w:val="99"/>
    <w:unhideWhenUsed/>
    <w:rsid w:val="009A31BB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Textodecuerpo">
    <w:name w:val="Body Text"/>
    <w:basedOn w:val="Normal"/>
    <w:link w:val="TextodecuerpoCar"/>
    <w:rsid w:val="0090405A"/>
    <w:pPr>
      <w:jc w:val="both"/>
    </w:pPr>
    <w:rPr>
      <w:rFonts w:ascii="Times" w:eastAsia="Times" w:hAnsi="Times"/>
      <w:sz w:val="20"/>
      <w:lang w:val="x-none" w:eastAsia="es-ES"/>
    </w:rPr>
  </w:style>
  <w:style w:type="character" w:customStyle="1" w:styleId="TextodecuerpoCar">
    <w:name w:val="Texto de cuerpo Car"/>
    <w:link w:val="Textodecuerpo"/>
    <w:rsid w:val="0090405A"/>
    <w:rPr>
      <w:rFonts w:ascii="Times" w:eastAsia="Times" w:hAnsi="Times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7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773E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085-FA39-7C43-A0EA-5E04C05A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2127</Words>
  <Characters>11703</Characters>
  <Application>Microsoft Macintosh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Eulogio López</dc:creator>
  <cp:keywords/>
  <dc:description/>
  <cp:lastModifiedBy>Eulogio López</cp:lastModifiedBy>
  <cp:revision>1</cp:revision>
  <cp:lastPrinted>2015-10-28T16:24:00Z</cp:lastPrinted>
  <dcterms:created xsi:type="dcterms:W3CDTF">2015-10-29T14:52:00Z</dcterms:created>
  <dcterms:modified xsi:type="dcterms:W3CDTF">2015-10-29T15:28:00Z</dcterms:modified>
</cp:coreProperties>
</file>